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附件1</w:t>
      </w:r>
    </w:p>
    <w:p>
      <w:pPr>
        <w:spacing w:line="640" w:lineRule="exact"/>
        <w:jc w:val="center"/>
        <w:rPr>
          <w:rFonts w:ascii="方正小标宋简体" w:eastAsia="方正小标宋简体"/>
          <w:color w:val="000000"/>
          <w:sz w:val="36"/>
          <w:szCs w:val="36"/>
        </w:rPr>
      </w:pPr>
    </w:p>
    <w:p>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医疗器械生产质量管理规范</w:t>
      </w:r>
    </w:p>
    <w:p>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现场检查指导原则</w:t>
      </w:r>
    </w:p>
    <w:p>
      <w:pPr>
        <w:spacing w:line="640" w:lineRule="exact"/>
        <w:jc w:val="center"/>
        <w:rPr>
          <w:rFonts w:ascii="方正小标宋简体" w:eastAsia="方正小标宋简体"/>
          <w:color w:val="000000"/>
          <w:sz w:val="44"/>
          <w:szCs w:val="44"/>
        </w:rPr>
      </w:pPr>
    </w:p>
    <w:tbl>
      <w:tblPr>
        <w:tblStyle w:val="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8"/>
        <w:gridCol w:w="1224"/>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498" w:type="dxa"/>
            <w:vAlign w:val="top"/>
          </w:tcPr>
          <w:p>
            <w:pPr>
              <w:widowControl/>
              <w:adjustRightInd w:val="0"/>
              <w:snapToGrid w:val="0"/>
              <w:spacing w:line="360" w:lineRule="exact"/>
              <w:jc w:val="center"/>
              <w:rPr>
                <w:rFonts w:ascii="Calibri" w:hAnsi="Calibri" w:eastAsia="仿宋_GB2312" w:cs="Times New Roman"/>
                <w:b/>
                <w:bCs/>
                <w:color w:val="000000"/>
                <w:kern w:val="0"/>
                <w:szCs w:val="21"/>
              </w:rPr>
            </w:pPr>
            <w:r>
              <w:rPr>
                <w:rFonts w:hint="eastAsia" w:ascii="Calibri" w:hAnsi="Calibri" w:eastAsia="仿宋_GB2312" w:cs="Times New Roman"/>
                <w:b/>
                <w:bCs/>
                <w:color w:val="000000"/>
                <w:kern w:val="0"/>
                <w:szCs w:val="21"/>
              </w:rPr>
              <w:t>章节</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b/>
                <w:bCs/>
                <w:color w:val="000000"/>
                <w:kern w:val="0"/>
                <w:szCs w:val="21"/>
              </w:rPr>
            </w:pPr>
            <w:r>
              <w:rPr>
                <w:rFonts w:hint="eastAsia" w:ascii="Calibri" w:hAnsi="Calibri" w:eastAsia="仿宋_GB2312" w:cs="Times New Roman"/>
                <w:b/>
                <w:bCs/>
                <w:color w:val="000000"/>
                <w:kern w:val="0"/>
                <w:szCs w:val="21"/>
              </w:rPr>
              <w:t>条款</w:t>
            </w:r>
          </w:p>
        </w:tc>
        <w:tc>
          <w:tcPr>
            <w:tcW w:w="713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b/>
                <w:bCs/>
                <w:color w:val="000000"/>
                <w:kern w:val="0"/>
                <w:szCs w:val="21"/>
              </w:rPr>
            </w:pPr>
            <w:r>
              <w:rPr>
                <w:rFonts w:hint="eastAsia" w:ascii="Calibri" w:hAnsi="Calibri" w:eastAsia="仿宋_GB2312" w:cs="Times New Roman"/>
                <w:b/>
                <w:bCs/>
                <w:color w:val="000000"/>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机</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构</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和</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人</w:t>
            </w:r>
          </w:p>
          <w:p>
            <w:pPr>
              <w:widowControl/>
              <w:adjustRightInd w:val="0"/>
              <w:snapToGrid w:val="0"/>
              <w:spacing w:line="360" w:lineRule="exact"/>
              <w:jc w:val="center"/>
              <w:rPr>
                <w:rFonts w:ascii="Calibri" w:hAnsi="Calibri" w:eastAsia="仿宋_GB2312" w:cs="Times New Roman"/>
                <w:b/>
                <w:bCs/>
                <w:color w:val="000000"/>
                <w:kern w:val="0"/>
                <w:sz w:val="44"/>
                <w:szCs w:val="21"/>
              </w:rPr>
            </w:pPr>
            <w:r>
              <w:rPr>
                <w:rFonts w:hint="eastAsia" w:ascii="Calibri" w:hAnsi="Calibri" w:eastAsia="仿宋_GB2312" w:cs="Times New Roman"/>
                <w:b/>
                <w:color w:val="000000"/>
                <w:kern w:val="0"/>
                <w:sz w:val="28"/>
                <w:szCs w:val="28"/>
              </w:rPr>
              <w:t>员</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olor w:val="000000"/>
                <w:kern w:val="0"/>
                <w:szCs w:val="21"/>
              </w:rPr>
              <w:t>应当</w:t>
            </w:r>
            <w:r>
              <w:rPr>
                <w:rFonts w:hint="eastAsia" w:ascii="Calibri" w:hAnsi="Calibri" w:eastAsia="仿宋_GB2312" w:cs="Times New Roman"/>
                <w:color w:val="000000"/>
                <w:kern w:val="0"/>
                <w:szCs w:val="21"/>
              </w:rPr>
              <w:t>建立与医疗器械生产相适应的管理机构，具备组织机构图。</w:t>
            </w:r>
          </w:p>
          <w:p>
            <w:pPr>
              <w:widowControl/>
              <w:adjustRightInd w:val="0"/>
              <w:snapToGrid w:val="0"/>
              <w:rPr>
                <w:rFonts w:ascii="Calibri" w:eastAsia="仿宋_GB2312"/>
                <w:b/>
                <w:color w:val="000000"/>
                <w:kern w:val="0"/>
                <w:szCs w:val="21"/>
              </w:rPr>
            </w:pPr>
            <w:r>
              <w:rPr>
                <w:rFonts w:hint="eastAsia" w:ascii="Calibri" w:hAnsi="Calibri" w:eastAsia="仿宋_GB2312"/>
                <w:b/>
                <w:color w:val="000000"/>
                <w:kern w:val="0"/>
                <w:szCs w:val="21"/>
              </w:rPr>
              <w:t>查看提供的质量手册，是否包括企业的组织机构图，是否明确各部门的相互关系。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应当明确各部门的职责和权限，明确质量管理职能。</w:t>
            </w:r>
          </w:p>
          <w:p>
            <w:pPr>
              <w:widowControl/>
              <w:adjustRightInd w:val="0"/>
              <w:snapToGrid w:val="0"/>
              <w:rPr>
                <w:rStyle w:val="19"/>
                <w:rFonts w:ascii="Calibri" w:eastAsia="仿宋_GB2312"/>
                <w:b/>
                <w:color w:val="000000"/>
              </w:rPr>
            </w:pPr>
            <w:r>
              <w:rPr>
                <w:rFonts w:hint="eastAsia" w:ascii="Calibri" w:hAnsi="Calibri" w:eastAsia="仿宋_GB2312"/>
                <w:b/>
                <w:i w:val="0"/>
                <w:iCs w:val="0"/>
                <w:color w:val="000000"/>
                <w:kern w:val="0"/>
                <w:szCs w:val="21"/>
              </w:rPr>
              <w:t>查看企业的质量手册，程序文件或相关文件，是否对各部门的职责权限</w:t>
            </w:r>
            <w:r>
              <w:rPr>
                <w:rFonts w:hint="eastAsia" w:ascii="Calibri" w:hAnsi="Calibri" w:eastAsia="仿宋_GB2312"/>
                <w:b/>
                <w:color w:val="000000"/>
                <w:kern w:val="0"/>
                <w:szCs w:val="21"/>
              </w:rPr>
              <w:t>作出规定；质量管理部门应当能独立行使职能</w:t>
            </w:r>
            <w:r>
              <w:rPr>
                <w:rFonts w:ascii="Calibri" w:hAnsi="Calibri" w:eastAsia="仿宋_GB2312"/>
                <w:b/>
                <w:color w:val="000000"/>
                <w:kern w:val="0"/>
                <w:szCs w:val="21"/>
              </w:rPr>
              <w:t xml:space="preserve">, </w:t>
            </w:r>
            <w:r>
              <w:rPr>
                <w:rFonts w:hint="eastAsia" w:ascii="Calibri" w:hAnsi="Calibri" w:eastAsia="仿宋_GB2312"/>
                <w:b/>
                <w:color w:val="000000"/>
                <w:kern w:val="0"/>
                <w:szCs w:val="21"/>
              </w:rPr>
              <w:t>查看质量管理部门的文件，是否明确规定对产品质量的相关事宜负有决策的权利。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生产管理部门和质量管理部门负责人不得互相兼任。</w:t>
            </w:r>
          </w:p>
          <w:p>
            <w:pPr>
              <w:widowControl/>
              <w:adjustRightInd w:val="0"/>
              <w:snapToGrid w:val="0"/>
              <w:rPr>
                <w:rStyle w:val="19"/>
                <w:rFonts w:ascii="Calibri" w:eastAsia="仿宋_GB2312"/>
                <w:b/>
                <w:color w:val="000000"/>
              </w:rPr>
            </w:pPr>
            <w:r>
              <w:rPr>
                <w:rFonts w:hint="eastAsia" w:ascii="Calibri" w:hAnsi="Calibri" w:eastAsia="仿宋_GB2312"/>
                <w:b/>
                <w:i w:val="0"/>
                <w:iCs w:val="0"/>
                <w:color w:val="000000"/>
                <w:kern w:val="0"/>
                <w:szCs w:val="21"/>
              </w:rPr>
              <w:t>查看公司的任职文件或授权文件并对照相关生产、检验等履行职责的记录，核实是否与授权一致。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9"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1.2.1</w:t>
            </w:r>
          </w:p>
        </w:tc>
        <w:tc>
          <w:tcPr>
            <w:tcW w:w="7134" w:type="dxa"/>
            <w:tcMar>
              <w:left w:w="57" w:type="dxa"/>
              <w:right w:w="57" w:type="dxa"/>
            </w:tcMar>
            <w:vAlign w:val="center"/>
          </w:tcPr>
          <w:p>
            <w:pPr>
              <w:widowControl/>
              <w:adjustRightInd w:val="0"/>
              <w:snapToGrid w:val="0"/>
              <w:rPr>
                <w:rFonts w:ascii="Calibri" w:eastAsia="仿宋_GB2312"/>
                <w:color w:val="000000"/>
                <w:kern w:val="0"/>
                <w:szCs w:val="21"/>
              </w:rPr>
            </w:pPr>
            <w:r>
              <w:rPr>
                <w:rFonts w:hint="eastAsia" w:ascii="Calibri" w:hAnsi="Calibri" w:eastAsia="仿宋_GB2312" w:cs="Times New Roman"/>
                <w:color w:val="000000"/>
                <w:kern w:val="0"/>
                <w:szCs w:val="21"/>
              </w:rPr>
              <w:t>企业</w:t>
            </w:r>
            <w:r>
              <w:rPr>
                <w:rFonts w:hint="eastAsia" w:ascii="Calibri" w:hAnsi="Calibri" w:eastAsia="仿宋_GB2312"/>
                <w:color w:val="000000"/>
                <w:kern w:val="0"/>
                <w:szCs w:val="21"/>
              </w:rPr>
              <w:t>负责人应当</w:t>
            </w:r>
            <w:r>
              <w:rPr>
                <w:rFonts w:hint="eastAsia" w:ascii="Calibri" w:hAnsi="Calibri" w:eastAsia="仿宋_GB2312" w:cs="Times New Roman"/>
                <w:color w:val="000000"/>
                <w:kern w:val="0"/>
                <w:szCs w:val="21"/>
              </w:rPr>
              <w:t>是医疗器械产品质量的主要责任人。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1.2.2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企业负责人应当组织制定质量方针和质量目标。</w:t>
            </w:r>
          </w:p>
          <w:p>
            <w:pPr>
              <w:widowControl/>
              <w:adjustRightInd w:val="0"/>
              <w:snapToGrid w:val="0"/>
              <w:rPr>
                <w:rFonts w:ascii="Calibri" w:hAnsi="Calibri" w:eastAsia="仿宋_GB2312" w:cs="Times New Roman"/>
                <w:b/>
                <w:color w:val="000000"/>
                <w:kern w:val="0"/>
                <w:szCs w:val="21"/>
              </w:rPr>
            </w:pPr>
            <w:r>
              <w:rPr>
                <w:rFonts w:hint="eastAsia" w:ascii="Calibri" w:hAnsi="Calibri" w:eastAsia="仿宋_GB2312"/>
                <w:b/>
                <w:color w:val="000000"/>
                <w:kern w:val="0"/>
                <w:szCs w:val="21"/>
              </w:rPr>
              <w:t>查看质量方针和质量目标的制定程序、批准人员。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1.2.3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企业负责人应当确保质量管理体系有效运行所需的人力资源、基础设施和工作环境。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1.2.4</w:t>
            </w:r>
          </w:p>
        </w:tc>
        <w:tc>
          <w:tcPr>
            <w:tcW w:w="7134" w:type="dxa"/>
            <w:tcMar>
              <w:left w:w="57" w:type="dxa"/>
              <w:right w:w="57" w:type="dxa"/>
            </w:tcMar>
            <w:vAlign w:val="center"/>
          </w:tcPr>
          <w:p>
            <w:pPr>
              <w:pStyle w:val="13"/>
              <w:ind w:firstLine="0" w:firstLineChars="0"/>
              <w:rPr>
                <w:rFonts w:ascii="Calibri" w:hAnsi="Calibri" w:eastAsia="仿宋_GB2312"/>
                <w:color w:val="000000"/>
                <w:kern w:val="0"/>
                <w:szCs w:val="21"/>
              </w:rPr>
            </w:pPr>
            <w:r>
              <w:rPr>
                <w:rFonts w:hint="eastAsia" w:ascii="Calibri" w:hAnsi="Calibri" w:eastAsia="仿宋_GB2312"/>
                <w:color w:val="000000"/>
                <w:kern w:val="0"/>
                <w:szCs w:val="21"/>
              </w:rPr>
              <w:t>企业负责人应当组织实施管理评审，</w:t>
            </w:r>
            <w:r>
              <w:rPr>
                <w:rFonts w:hint="eastAsia" w:ascii="Calibri" w:hAnsi="Calibri" w:eastAsia="仿宋_GB2312" w:cs="Times New Roman"/>
                <w:color w:val="000000"/>
                <w:kern w:val="0"/>
                <w:szCs w:val="21"/>
              </w:rPr>
              <w:t>定期对质量管理体系运行情况进行评估，并</w:t>
            </w:r>
            <w:r>
              <w:rPr>
                <w:rFonts w:hint="eastAsia" w:ascii="Calibri" w:hAnsi="Calibri" w:eastAsia="仿宋_GB2312"/>
                <w:color w:val="000000"/>
                <w:kern w:val="0"/>
                <w:szCs w:val="21"/>
              </w:rPr>
              <w:t>持续改进。</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查看管理评审文件和记录，核实企业负责人是否组织实施管理评审。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*1.2.5</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olor w:val="000000"/>
                <w:szCs w:val="21"/>
              </w:rPr>
              <w:t>企</w:t>
            </w:r>
            <w:r>
              <w:rPr>
                <w:rFonts w:hint="eastAsia" w:ascii="Calibri" w:hAnsi="Calibri" w:eastAsia="仿宋_GB2312" w:cs="Times New Roman"/>
                <w:color w:val="000000"/>
                <w:kern w:val="0"/>
                <w:szCs w:val="21"/>
              </w:rPr>
              <w:t>业负责人应当确保企业按照法律、法规和规章的要求组织生产。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1.3.1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企业负责人应当确定一名管理者代表。</w:t>
            </w:r>
          </w:p>
          <w:p>
            <w:pPr>
              <w:widowControl/>
              <w:adjustRightInd w:val="0"/>
              <w:snapToGrid w:val="0"/>
              <w:rPr>
                <w:rFonts w:ascii="Calibri" w:eastAsia="仿宋_GB2312"/>
                <w:b/>
                <w:color w:val="000000"/>
                <w:szCs w:val="21"/>
              </w:rPr>
            </w:pPr>
            <w:r>
              <w:rPr>
                <w:rFonts w:hint="eastAsia" w:ascii="Calibri" w:hAnsi="Calibri" w:eastAsia="仿宋_GB2312"/>
                <w:b/>
                <w:color w:val="000000"/>
                <w:kern w:val="0"/>
                <w:szCs w:val="21"/>
              </w:rPr>
              <w:t>查看管理者代表的任命文件。</w:t>
            </w:r>
            <w:r>
              <w:rPr>
                <w:rFonts w:ascii="Calibri" w:hAnsi="Calibri" w:eastAsia="仿宋_GB2312"/>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管理者代表应当负责建立、实施并保持质量管理体系，报告质量管理体系的运行情况和改进需求，提高员工满足法规、规章和顾客要求的意识。</w:t>
            </w:r>
          </w:p>
          <w:p>
            <w:pPr>
              <w:widowControl/>
              <w:adjustRightInd w:val="0"/>
              <w:snapToGrid w:val="0"/>
              <w:rPr>
                <w:rFonts w:ascii="Calibri" w:hAnsi="Calibri" w:eastAsia="仿宋_GB2312" w:cs="Times New Roman"/>
                <w:b/>
                <w:color w:val="000000"/>
                <w:kern w:val="0"/>
                <w:szCs w:val="21"/>
              </w:rPr>
            </w:pPr>
            <w:r>
              <w:rPr>
                <w:rFonts w:hint="eastAsia" w:ascii="Calibri" w:hAnsi="Calibri" w:eastAsia="仿宋_GB2312"/>
                <w:b/>
                <w:color w:val="000000"/>
                <w:kern w:val="0"/>
                <w:szCs w:val="21"/>
              </w:rPr>
              <w:t>查看是否对上述职责作出明确规定。查看管理者代表报告质量管理体系运行情况和改进的相关记录。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1.4.1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技术、生产、质量管理部门负责人应当熟悉医疗器械法律法规，具有质量管理的实践经验，应当有能力对生产管理和质量管理中实际问题作出正确判断和处理。</w:t>
            </w:r>
          </w:p>
          <w:p>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查看相关部门负责人的任职资格要求，是否对专业知识、工作技能、工作经历作出规定；查看考核评价记录</w:t>
            </w:r>
            <w:r>
              <w:rPr>
                <w:rFonts w:hint="eastAsia" w:ascii="Calibri" w:hAnsi="Calibri" w:eastAsia="仿宋_GB2312" w:cs="Times New Roman"/>
                <w:b/>
                <w:color w:val="000000"/>
                <w:kern w:val="0"/>
                <w:szCs w:val="21"/>
              </w:rPr>
              <w:t>，</w:t>
            </w:r>
            <w:r>
              <w:rPr>
                <w:rFonts w:hint="eastAsia" w:ascii="Calibri" w:hAnsi="Calibri" w:eastAsia="仿宋_GB2312"/>
                <w:b/>
                <w:color w:val="000000"/>
                <w:szCs w:val="21"/>
              </w:rPr>
              <w:t>现场询问，确定是否符合要求。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应当配备与生产产品相适应的专业技术人员、管理人员和操作人员。</w:t>
            </w:r>
          </w:p>
          <w:p>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查看相关人员的资格要求。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*1.5.2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应当具有相应的质量检验机构或专职检验人员。</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查看组织机构图、部门职责要求、岗位人员任命等文件确认是否符合要求。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7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rPr>
            </w:pPr>
            <w:r>
              <w:rPr>
                <w:rFonts w:ascii="Calibri" w:hAnsi="Calibri" w:eastAsia="仿宋_GB2312" w:cs="Times New Roman"/>
                <w:i w:val="0"/>
                <w:iCs w:val="0"/>
                <w:color w:val="000000"/>
                <w:kern w:val="0"/>
                <w:szCs w:val="21"/>
                <w:u w:val="none" w:color="auto"/>
              </w:rPr>
              <w:t>*</w:t>
            </w:r>
            <w:r>
              <w:rPr>
                <w:rFonts w:ascii="Calibri" w:hAnsi="Calibri" w:eastAsia="仿宋_GB2312" w:cs="Times New Roman"/>
                <w:color w:val="000000"/>
                <w:kern w:val="0"/>
                <w:szCs w:val="21"/>
              </w:rPr>
              <w:t>1.6.1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从事影响产品质量工作的人员，应当经过与其岗位要求相适应的培训，具有相关的理论知识和实际操作技能。</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应当确定影响医疗器械质量的岗位，规定这些岗位人员所必须具备的专业知识水平（包括学历要求）、工作技能、工作经验。查看培训内容、培训记录和考核记录，是否符合要求。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1.7.1</w:t>
            </w:r>
          </w:p>
        </w:tc>
        <w:tc>
          <w:tcPr>
            <w:tcW w:w="7134" w:type="dxa"/>
            <w:tcMar>
              <w:left w:w="57" w:type="dxa"/>
              <w:right w:w="57" w:type="dxa"/>
            </w:tcMar>
            <w:vAlign w:val="center"/>
          </w:tcPr>
          <w:p>
            <w:pPr>
              <w:widowControl/>
              <w:adjustRightInd w:val="0"/>
              <w:snapToGrid w:val="0"/>
              <w:rPr>
                <w:rStyle w:val="19"/>
                <w:rFonts w:ascii="Calibri" w:eastAsia="仿宋_GB2312"/>
              </w:rPr>
            </w:pPr>
            <w:r>
              <w:rPr>
                <w:rFonts w:hint="eastAsia" w:ascii="Calibri" w:hAnsi="Calibri" w:eastAsia="仿宋_GB2312"/>
                <w:i w:val="0"/>
                <w:iCs w:val="0"/>
                <w:color w:val="000000"/>
                <w:szCs w:val="21"/>
              </w:rPr>
              <w:t>应</w:t>
            </w:r>
            <w:r>
              <w:rPr>
                <w:rFonts w:hint="eastAsia" w:ascii="Calibri" w:hAnsi="Calibri" w:eastAsia="仿宋_GB2312"/>
                <w:color w:val="000000"/>
                <w:szCs w:val="21"/>
              </w:rPr>
              <w:t>当对从事与产品质量有影响人员的健康进行管理，建立健康档案。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厂房与设施</w:t>
            </w:r>
          </w:p>
          <w:p>
            <w:pPr>
              <w:adjustRightInd w:val="0"/>
              <w:snapToGrid w:val="0"/>
              <w:spacing w:line="360" w:lineRule="exact"/>
              <w:jc w:val="center"/>
              <w:rPr>
                <w:rFonts w:ascii="Calibri" w:hAnsi="Calibri" w:eastAsia="仿宋_GB2312" w:cs="Times New Roman"/>
                <w:b/>
                <w:bCs/>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2.1.1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厂房与设施应当符合产品的生产要求。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b/>
                <w:color w:val="000000"/>
                <w:kern w:val="0"/>
                <w:sz w:val="24"/>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2.1.2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生产、行政和辅助区的总体布局应当合理，不得互相妨碍。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*2.2.1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厂房与设施应当根据所生产产品的特性、工艺流程及相应的洁净级别要求进行合理设计、布局和使用。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2.2.2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生产环境应当整洁、符合产品质量需要及相关技术标准的要求。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5"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2.2.3</w:t>
            </w:r>
          </w:p>
        </w:tc>
        <w:tc>
          <w:tcPr>
            <w:tcW w:w="7134" w:type="dxa"/>
            <w:tcMar>
              <w:left w:w="57" w:type="dxa"/>
              <w:right w:w="57" w:type="dxa"/>
            </w:tcMar>
            <w:vAlign w:val="center"/>
          </w:tcPr>
          <w:p>
            <w:pPr>
              <w:widowControl/>
              <w:adjustRightInd w:val="0"/>
              <w:snapToGrid w:val="0"/>
              <w:rPr>
                <w:rFonts w:hint="eastAsia" w:ascii="Calibri" w:hAnsi="Calibri" w:eastAsia="仿宋_GB2312" w:cs="Times New Roman"/>
                <w:color w:val="000000"/>
                <w:kern w:val="0"/>
                <w:sz w:val="32"/>
                <w:szCs w:val="32"/>
              </w:rPr>
            </w:pPr>
            <w:r>
              <w:rPr>
                <w:rFonts w:hint="eastAsia" w:ascii="Calibri" w:hAnsi="Calibri" w:eastAsia="仿宋_GB2312"/>
                <w:color w:val="000000"/>
                <w:szCs w:val="21"/>
              </w:rPr>
              <w:t>产品有特殊要求的，应当确保厂房的外部环境不能对产品质量产生影响，必要时应当进行验证。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2.3.1</w:t>
            </w:r>
          </w:p>
        </w:tc>
        <w:tc>
          <w:tcPr>
            <w:tcW w:w="7134" w:type="dxa"/>
            <w:tcMar>
              <w:left w:w="57" w:type="dxa"/>
              <w:right w:w="57" w:type="dxa"/>
            </w:tcMar>
            <w:vAlign w:val="center"/>
          </w:tcPr>
          <w:p>
            <w:pPr>
              <w:widowControl/>
              <w:adjustRightInd w:val="0"/>
              <w:snapToGrid w:val="0"/>
              <w:rPr>
                <w:rFonts w:hint="eastAsia" w:ascii="Calibri" w:hAnsi="Calibri" w:eastAsia="仿宋_GB2312" w:cs="Times New Roman"/>
                <w:color w:val="000000"/>
                <w:kern w:val="0"/>
                <w:sz w:val="32"/>
                <w:szCs w:val="32"/>
              </w:rPr>
            </w:pPr>
            <w:r>
              <w:rPr>
                <w:rFonts w:hint="eastAsia" w:ascii="Calibri" w:hAnsi="Calibri" w:eastAsia="仿宋_GB2312"/>
                <w:color w:val="000000"/>
                <w:szCs w:val="21"/>
              </w:rPr>
              <w:t>厂房应当确保生产和贮存产品质量以及相关设备性能不会直接或间接地受到影响。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olor w:val="000000"/>
                <w:szCs w:val="21"/>
              </w:rPr>
              <w:t>厂房应当有适当的照明、温度、湿度和通风控制条件。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2.4.1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厂房与设施的设计和安装应当根据产品特性采取必要措施，有效防止昆虫或其他动物进入。</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现场查看是否配备了相关设施。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1"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2.4.2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对厂房与设施的维护和维修不应影响产品质量。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5" w:hRule="atLeast"/>
          <w:jc w:val="center"/>
        </w:trPr>
        <w:tc>
          <w:tcPr>
            <w:tcW w:w="498" w:type="dxa"/>
            <w:vMerge w:val="continue"/>
            <w:vAlign w:val="center"/>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生产区应当有足够空间，并与产品生产规模、品种相适应。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2.6.1</w:t>
            </w:r>
          </w:p>
        </w:tc>
        <w:tc>
          <w:tcPr>
            <w:tcW w:w="7134" w:type="dxa"/>
            <w:tcMar>
              <w:left w:w="57" w:type="dxa"/>
              <w:right w:w="57" w:type="dxa"/>
            </w:tcMar>
            <w:vAlign w:val="center"/>
          </w:tcPr>
          <w:p>
            <w:pPr>
              <w:widowControl/>
              <w:adjustRightInd w:val="0"/>
              <w:snapToGrid w:val="0"/>
              <w:rPr>
                <w:rStyle w:val="21"/>
                <w:rFonts w:ascii="Calibri" w:eastAsia="仿宋_GB2312"/>
                <w:b/>
                <w:i w:val="0"/>
                <w:color w:val="000000"/>
              </w:rPr>
            </w:pPr>
            <w:r>
              <w:rPr>
                <w:rFonts w:hint="eastAsia" w:ascii="Calibri" w:hAnsi="Calibri" w:eastAsia="仿宋_GB2312"/>
                <w:i w:val="0"/>
                <w:iCs w:val="0"/>
                <w:color w:val="000000"/>
                <w:szCs w:val="21"/>
                <w:u w:val="none" w:color="auto"/>
              </w:rPr>
              <w:t>仓储区</w:t>
            </w:r>
            <w:r>
              <w:rPr>
                <w:rFonts w:hint="eastAsia" w:ascii="Calibri" w:hAnsi="Calibri" w:eastAsia="仿宋_GB2312"/>
                <w:color w:val="000000"/>
                <w:szCs w:val="21"/>
              </w:rPr>
              <w:t>应当能够满足原材料、包装材料、中间品、产品等贮存条件和要求。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5"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2.6.2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仓储区应当按照待验、合格、不合格、退货或召回等进行有序、分区存放各类材料和产品，便于检查和监控。</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现场查看是否设置了相关区域并进行了标识，对各类物料是否按规定区域存放，</w:t>
            </w:r>
            <w:r>
              <w:rPr>
                <w:rFonts w:hint="eastAsia" w:ascii="Calibri" w:hAnsi="Calibri" w:eastAsia="仿宋_GB2312"/>
                <w:b/>
                <w:color w:val="000000"/>
                <w:szCs w:val="21"/>
              </w:rPr>
              <w:t>应当有各类物品的贮存记录。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*2.7.1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应当配备与产品生产规模、品种、检验要求相适应的检验场所和设施。</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对照产品生产工艺的要求和产品检验要求以及检验方法，核实企业是否具备相关检测条件。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设</w:t>
            </w:r>
          </w:p>
          <w:p>
            <w:pPr>
              <w:adjustRightInd w:val="0"/>
              <w:snapToGrid w:val="0"/>
              <w:spacing w:line="360" w:lineRule="exact"/>
              <w:jc w:val="center"/>
              <w:rPr>
                <w:rFonts w:ascii="Calibri" w:hAnsi="Calibri" w:eastAsia="仿宋_GB2312" w:cs="Times New Roman"/>
                <w:b/>
                <w:bCs/>
                <w:color w:val="000000"/>
                <w:kern w:val="0"/>
                <w:sz w:val="28"/>
                <w:szCs w:val="28"/>
              </w:rPr>
            </w:pPr>
          </w:p>
          <w:p>
            <w:pPr>
              <w:adjustRightInd w:val="0"/>
              <w:snapToGrid w:val="0"/>
              <w:spacing w:line="360" w:lineRule="exact"/>
              <w:jc w:val="center"/>
              <w:rPr>
                <w:rFonts w:ascii="Calibri" w:hAnsi="Calibri" w:eastAsia="仿宋_GB2312" w:cs="Times New Roman"/>
                <w:b/>
                <w:bCs/>
                <w:color w:val="000000"/>
                <w:kern w:val="0"/>
                <w:sz w:val="28"/>
                <w:szCs w:val="28"/>
              </w:rPr>
            </w:pPr>
          </w:p>
          <w:p>
            <w:pPr>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备</w:t>
            </w:r>
          </w:p>
          <w:p>
            <w:pPr>
              <w:adjustRightInd w:val="0"/>
              <w:snapToGrid w:val="0"/>
              <w:spacing w:line="360" w:lineRule="exact"/>
              <w:jc w:val="center"/>
              <w:rPr>
                <w:rFonts w:ascii="Calibri" w:hAnsi="Calibri" w:eastAsia="仿宋_GB2312" w:cs="Times New Roman"/>
                <w:b/>
                <w:bCs/>
                <w:color w:val="000000"/>
                <w:kern w:val="0"/>
                <w:sz w:val="30"/>
                <w:szCs w:val="30"/>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*3.1.1</w:t>
            </w:r>
          </w:p>
        </w:tc>
        <w:tc>
          <w:tcPr>
            <w:tcW w:w="7134" w:type="dxa"/>
            <w:tcMar>
              <w:left w:w="57" w:type="dxa"/>
              <w:right w:w="57" w:type="dxa"/>
            </w:tcMar>
            <w:vAlign w:val="center"/>
          </w:tcPr>
          <w:p>
            <w:pPr>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应当配备与所生产产品和规模相匹配的生产设备、工艺装备，应当确保有效运行。</w:t>
            </w:r>
          </w:p>
          <w:p>
            <w:pPr>
              <w:adjustRightInd w:val="0"/>
              <w:snapToGrid w:val="0"/>
              <w:rPr>
                <w:rStyle w:val="19"/>
                <w:rFonts w:ascii="Calibri" w:eastAsia="仿宋_GB2312"/>
                <w:b/>
                <w:i w:val="0"/>
                <w:color w:val="000000"/>
              </w:rPr>
            </w:pPr>
            <w:r>
              <w:rPr>
                <w:rStyle w:val="19"/>
                <w:rFonts w:hint="eastAsia" w:ascii="Calibri" w:eastAsia="仿宋_GB2312"/>
                <w:b/>
                <w:i w:val="0"/>
                <w:color w:val="000000"/>
              </w:rPr>
              <w:t>对照生产工艺流程图，查看设备清单，所列设备是否满足生产需要；核查现场设备是否与设备清单相关内容一致；应当制定设备管理制度。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3.2.1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生产设备的设计、选型、安装、维修和维护应当符合预定用途，便于操作、清洁和维护。</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查看生产设备验证记录，确认是否满足预定要求。现场查看生产设备是否便于操作、清洁和维护。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3.2.2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生产设备应当有明显的状态标识，防止非预期使用。</w:t>
            </w:r>
          </w:p>
          <w:p>
            <w:pPr>
              <w:widowControl/>
              <w:tabs>
                <w:tab w:val="left" w:pos="2860"/>
              </w:tabs>
              <w:adjustRightInd w:val="0"/>
              <w:snapToGrid w:val="0"/>
              <w:rPr>
                <w:rStyle w:val="19"/>
                <w:rFonts w:ascii="Calibri" w:eastAsia="仿宋_GB2312"/>
                <w:b/>
                <w:i w:val="0"/>
                <w:color w:val="000000"/>
              </w:rPr>
            </w:pPr>
            <w:r>
              <w:rPr>
                <w:rStyle w:val="19"/>
                <w:rFonts w:hint="eastAsia" w:ascii="Calibri" w:eastAsia="仿宋_GB2312"/>
                <w:b/>
                <w:i w:val="0"/>
                <w:color w:val="000000"/>
              </w:rPr>
              <w:t>现场查看生产设备标识。</w:t>
            </w:r>
            <w:r>
              <w:rPr>
                <w:rStyle w:val="19"/>
                <w:rFonts w:ascii="Calibri" w:eastAsia="仿宋_GB2312"/>
                <w:b/>
                <w:i w:val="0"/>
                <w:color w:val="00000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1"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3.2.3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szCs w:val="21"/>
              </w:rPr>
              <w:t>应当</w:t>
            </w:r>
            <w:r>
              <w:rPr>
                <w:rFonts w:hint="eastAsia" w:ascii="Calibri" w:hAnsi="Calibri" w:eastAsia="仿宋_GB2312"/>
                <w:color w:val="000000"/>
                <w:szCs w:val="21"/>
              </w:rPr>
              <w:t>建立生产设备使用、清洁、维护和维修的操作规程，并保存相应的设备操作记录。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*3.3.1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应当配备与产品检验要求相适应的检验仪器和设备，主要检验仪器和设备应当具有明确的操作规程。</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对照产品检验要求和检验方法，核实企业是否具备相关检测设备。主要检测设备是否制定了操作规程。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3.4.1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szCs w:val="21"/>
              </w:rPr>
              <w:t>应当</w:t>
            </w:r>
            <w:r>
              <w:rPr>
                <w:rFonts w:hint="eastAsia" w:ascii="Calibri" w:hAnsi="Calibri" w:eastAsia="仿宋_GB2312"/>
                <w:color w:val="000000"/>
                <w:szCs w:val="21"/>
              </w:rPr>
              <w:t>建立检验仪器和设备的使用记录，记录内容应当包括使用、校准、维护和维修等情况。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3.5.1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应当配备适当的计量器具，计量器具的量程和精度应当满足使用要求，计量器具应当标明其校准有效期，保存相应记录。</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查看计量器具的校准记录，确定是否在有效期内使用。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61" w:hRule="atLeast"/>
          <w:jc w:val="center"/>
        </w:trPr>
        <w:tc>
          <w:tcPr>
            <w:tcW w:w="498" w:type="dxa"/>
            <w:vMerge w:val="restart"/>
            <w:vAlign w:val="center"/>
          </w:tcPr>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文</w:t>
            </w: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件</w:t>
            </w: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管</w:t>
            </w: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理</w:t>
            </w:r>
          </w:p>
          <w:p>
            <w:pPr>
              <w:adjustRightInd w:val="0"/>
              <w:snapToGrid w:val="0"/>
              <w:spacing w:line="360" w:lineRule="exact"/>
              <w:jc w:val="center"/>
              <w:rPr>
                <w:rFonts w:ascii="Calibri" w:hAnsi="Calibri" w:eastAsia="仿宋_GB2312" w:cs="Times New Roman"/>
                <w:b/>
                <w:bCs/>
                <w:color w:val="000000"/>
                <w:kern w:val="0"/>
                <w:sz w:val="44"/>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应当建立健全质量管理体系文件，包括质量方针和质量目标、质量手册、程序文件、技术文件和记录，以及法规要求的其他文件。</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4.1.2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质量手册应当对质量管理体系作出规定。</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查看企业的</w:t>
            </w:r>
            <w:r>
              <w:rPr>
                <w:rFonts w:hint="eastAsia" w:ascii="Calibri" w:hAnsi="Calibri" w:eastAsia="仿宋_GB2312"/>
                <w:b/>
                <w:color w:val="000000"/>
                <w:kern w:val="0"/>
                <w:szCs w:val="21"/>
              </w:rPr>
              <w:t>质量手册，应当包括企业质量目标、组织机构及职责、质量体系的适用范围和要求。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498" w:type="dxa"/>
            <w:vMerge w:val="continue"/>
            <w:vAlign w:val="center"/>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4.1.3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程序文件</w:t>
            </w:r>
            <w:r>
              <w:rPr>
                <w:rFonts w:hint="eastAsia" w:ascii="Calibri" w:hAnsi="Calibri" w:eastAsia="仿宋_GB2312"/>
                <w:color w:val="000000"/>
                <w:kern w:val="0"/>
                <w:szCs w:val="21"/>
              </w:rPr>
              <w:t>应当根据产品生产和质量管理过程中需要建立的各种工作程序而制定，包含本规范所规定的各项程序文件。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*4.1.4</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技术文件</w:t>
            </w:r>
            <w:r>
              <w:rPr>
                <w:rFonts w:hint="eastAsia" w:ascii="Calibri" w:hAnsi="Calibri" w:eastAsia="仿宋_GB2312"/>
                <w:color w:val="000000"/>
                <w:kern w:val="0"/>
                <w:szCs w:val="21"/>
              </w:rPr>
              <w:t>应当包括产品技术要求及相关标准、生产工艺规程、作业指导书、检验和试验操作规程、安装和服务操作规程等相关文件。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4.2.1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应当建立文件控制程序，系统地设计、制定、审核、批准和发放质量管理体系文件。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4.2.2</w:t>
            </w:r>
          </w:p>
        </w:tc>
        <w:tc>
          <w:tcPr>
            <w:tcW w:w="7134" w:type="dxa"/>
            <w:tcMar>
              <w:left w:w="57" w:type="dxa"/>
              <w:right w:w="57" w:type="dxa"/>
            </w:tcMar>
            <w:vAlign w:val="center"/>
          </w:tcPr>
          <w:p>
            <w:pPr>
              <w:adjustRightInd w:val="0"/>
              <w:snapToGrid w:val="0"/>
              <w:rPr>
                <w:rStyle w:val="19"/>
                <w:rFonts w:ascii="Calibri" w:eastAsia="仿宋_GB2312"/>
                <w:i w:val="0"/>
                <w:dstrike/>
                <w:color w:val="000000"/>
              </w:rPr>
            </w:pPr>
            <w:r>
              <w:rPr>
                <w:rFonts w:hint="eastAsia" w:ascii="Calibri" w:hAnsi="Calibri" w:eastAsia="仿宋_GB2312"/>
                <w:i w:val="0"/>
                <w:iCs w:val="0"/>
                <w:color w:val="000000"/>
                <w:kern w:val="0"/>
                <w:szCs w:val="21"/>
              </w:rPr>
              <w:t>文件的起草、修订、审核、批准、替换或撤销、复制、保管和销毁等</w:t>
            </w:r>
            <w:r>
              <w:rPr>
                <w:rFonts w:hint="eastAsia" w:ascii="Calibri" w:hAnsi="Calibri" w:eastAsia="仿宋_GB2312"/>
                <w:color w:val="000000"/>
                <w:kern w:val="0"/>
                <w:szCs w:val="21"/>
              </w:rPr>
              <w:t>应当按照控制程序管理，并有相应的文件分发、撤销、复制和销毁记录。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val="0"/>
                <w:color w:val="000000"/>
                <w:kern w:val="0"/>
                <w:szCs w:val="21"/>
                <w:u w:val="none" w:color="auto"/>
              </w:rPr>
              <w:t>4.</w:t>
            </w:r>
            <w:r>
              <w:rPr>
                <w:rFonts w:ascii="Calibri" w:hAnsi="Calibri" w:eastAsia="仿宋_GB2312" w:cs="Times New Roman"/>
                <w:iCs/>
                <w:color w:val="000000"/>
                <w:kern w:val="0"/>
                <w:szCs w:val="21"/>
              </w:rPr>
              <w:t>2.3</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文件更新或修订时应当按规定评审和批准，能够识别文件的更改和修订状态。</w:t>
            </w:r>
          </w:p>
          <w:p>
            <w:pPr>
              <w:adjustRightInd w:val="0"/>
              <w:snapToGrid w:val="0"/>
              <w:rPr>
                <w:rStyle w:val="19"/>
                <w:rFonts w:ascii="Calibri" w:eastAsia="仿宋_GB2312"/>
                <w:b/>
                <w:i w:val="0"/>
                <w:color w:val="000000"/>
              </w:rPr>
            </w:pPr>
            <w:r>
              <w:rPr>
                <w:rStyle w:val="19"/>
                <w:rFonts w:hint="eastAsia" w:ascii="Calibri" w:eastAsia="仿宋_GB2312"/>
                <w:b/>
                <w:i w:val="0"/>
                <w:color w:val="000000"/>
              </w:rPr>
              <w:t>查看相关记录确认文件的更新或修订是否经过评审和批准；其更改和修订状态是否能够得到识别。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4.2.4</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分发和使用的文件应当为适宜的文本，已撤销或作废的文件应当进行标识，防止误用。</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到工作现场抽查现场使用的文件，确认是否是有效版本。作废文件是否明确标识。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5"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应当确定作废的技术文件等必要的质量管理体系文件的保存期限，满足产品维修和产品质量责任追溯等需要。</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rPr>
              <w:t>保存</w:t>
            </w:r>
            <w:r>
              <w:rPr>
                <w:rFonts w:hint="eastAsia" w:ascii="Calibri" w:hAnsi="Calibri" w:eastAsia="仿宋_GB2312" w:cs="Times New Roman"/>
                <w:b/>
                <w:color w:val="000000"/>
                <w:kern w:val="0"/>
                <w:szCs w:val="21"/>
              </w:rPr>
              <w:t>期限应当不少于企业所规定的医疗器械寿命期。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val="0"/>
                <w:color w:val="000000"/>
                <w:kern w:val="0"/>
                <w:szCs w:val="21"/>
                <w:u w:val="none" w:color="auto"/>
              </w:rPr>
              <w:t>4.</w:t>
            </w:r>
            <w:r>
              <w:rPr>
                <w:rFonts w:ascii="Calibri" w:hAnsi="Calibri" w:eastAsia="仿宋_GB2312" w:cs="Times New Roman"/>
                <w:iCs/>
                <w:color w:val="000000"/>
                <w:kern w:val="0"/>
                <w:szCs w:val="21"/>
              </w:rPr>
              <w:t>4.1</w:t>
            </w:r>
          </w:p>
        </w:tc>
        <w:tc>
          <w:tcPr>
            <w:tcW w:w="7134" w:type="dxa"/>
            <w:tcMar>
              <w:left w:w="57" w:type="dxa"/>
              <w:right w:w="57" w:type="dxa"/>
            </w:tcMar>
            <w:vAlign w:val="center"/>
          </w:tcPr>
          <w:p>
            <w:pPr>
              <w:widowControl/>
              <w:adjustRightInd w:val="0"/>
              <w:snapToGrid w:val="0"/>
              <w:rPr>
                <w:rFonts w:ascii="Calibri" w:eastAsia="仿宋_GB2312"/>
                <w:color w:val="000000"/>
                <w:kern w:val="0"/>
                <w:szCs w:val="21"/>
              </w:rPr>
            </w:pPr>
            <w:r>
              <w:rPr>
                <w:rFonts w:hint="eastAsia" w:ascii="Calibri" w:hAnsi="Calibri" w:eastAsia="仿宋_GB2312"/>
                <w:color w:val="000000"/>
                <w:kern w:val="0"/>
                <w:szCs w:val="21"/>
              </w:rPr>
              <w:t>应当建立记录控制程序，包括记录的标识、保管、检索、保存期限和处置要求等。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记录</w:t>
            </w:r>
            <w:r>
              <w:rPr>
                <w:rFonts w:hint="eastAsia" w:ascii="Calibri" w:hAnsi="Calibri" w:eastAsia="仿宋_GB2312"/>
                <w:color w:val="000000"/>
                <w:kern w:val="0"/>
                <w:szCs w:val="21"/>
              </w:rPr>
              <w:t>应当保证产品生产、质量控制等活动可追溯性。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4.4.3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记录</w:t>
            </w:r>
            <w:r>
              <w:rPr>
                <w:rFonts w:hint="eastAsia" w:ascii="Calibri" w:hAnsi="Calibri" w:eastAsia="仿宋_GB2312"/>
                <w:color w:val="000000"/>
                <w:kern w:val="0"/>
                <w:szCs w:val="21"/>
              </w:rPr>
              <w:t>应当清晰、完整，易于识别和检索，防止破损和丢失。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4.4.4</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记录不得随意涂改或销毁，更改记录应当签注姓名和日期，并使原有信息仍清晰可辨，必要时，应当说明更改的理由。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4.4.5</w:t>
            </w:r>
          </w:p>
        </w:tc>
        <w:tc>
          <w:tcPr>
            <w:tcW w:w="7134" w:type="dxa"/>
            <w:tcMar>
              <w:left w:w="57" w:type="dxa"/>
              <w:right w:w="57" w:type="dxa"/>
            </w:tcMar>
            <w:vAlign w:val="center"/>
          </w:tcPr>
          <w:p>
            <w:pPr>
              <w:adjustRightInd w:val="0"/>
              <w:snapToGrid w:val="0"/>
              <w:rPr>
                <w:rFonts w:ascii="Calibri" w:eastAsia="仿宋_GB2312"/>
                <w:color w:val="000000"/>
                <w:szCs w:val="21"/>
              </w:rPr>
            </w:pPr>
            <w:r>
              <w:rPr>
                <w:rFonts w:hint="eastAsia" w:ascii="Calibri" w:hAnsi="Calibri" w:eastAsia="仿宋_GB2312"/>
                <w:color w:val="000000"/>
                <w:kern w:val="0"/>
                <w:szCs w:val="21"/>
              </w:rPr>
              <w:t>记录的保存期限至少相当于生产企业所规定的医疗器械的寿命期，但从放行产品的日期起不少于</w:t>
            </w:r>
            <w:r>
              <w:rPr>
                <w:rFonts w:ascii="Calibri" w:hAnsi="Calibri" w:eastAsia="仿宋_GB2312"/>
                <w:color w:val="000000"/>
                <w:kern w:val="0"/>
                <w:szCs w:val="21"/>
              </w:rPr>
              <w:t>2年，或符合相关法规要求，并可追溯。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6"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设计开发</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5.1.1</w:t>
            </w:r>
          </w:p>
        </w:tc>
        <w:tc>
          <w:tcPr>
            <w:tcW w:w="7134" w:type="dxa"/>
            <w:tcMar>
              <w:left w:w="57" w:type="dxa"/>
              <w:right w:w="57" w:type="dxa"/>
            </w:tcMar>
            <w:vAlign w:val="center"/>
          </w:tcPr>
          <w:p>
            <w:pPr>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应当建立设计控制程序并形成文件，对医疗器械的设计和开发过程实施策划和控制。</w:t>
            </w:r>
          </w:p>
          <w:p>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查看设计控制</w:t>
            </w:r>
            <w:r>
              <w:rPr>
                <w:rFonts w:ascii="Calibri" w:hAnsi="Calibri" w:eastAsia="仿宋_GB2312"/>
                <w:b/>
                <w:color w:val="000000"/>
                <w:kern w:val="0"/>
                <w:szCs w:val="21"/>
              </w:rPr>
              <w:t>程序文件</w:t>
            </w:r>
            <w:r>
              <w:rPr>
                <w:rFonts w:hint="eastAsia" w:ascii="Calibri" w:hAnsi="Calibri" w:eastAsia="仿宋_GB2312"/>
                <w:b/>
                <w:color w:val="000000"/>
                <w:kern w:val="0"/>
                <w:szCs w:val="21"/>
              </w:rPr>
              <w:t>，应当</w:t>
            </w:r>
            <w:r>
              <w:rPr>
                <w:rFonts w:ascii="Calibri" w:hAnsi="Calibri" w:eastAsia="仿宋_GB2312"/>
                <w:b/>
                <w:color w:val="000000"/>
                <w:kern w:val="0"/>
                <w:szCs w:val="21"/>
              </w:rPr>
              <w:t>清晰、可操作，能控制设计开发过程，</w:t>
            </w:r>
            <w:r>
              <w:rPr>
                <w:rFonts w:hint="eastAsia" w:ascii="Calibri" w:hAnsi="Calibri" w:eastAsia="仿宋_GB2312"/>
                <w:b/>
                <w:color w:val="000000"/>
                <w:kern w:val="0"/>
                <w:szCs w:val="21"/>
              </w:rPr>
              <w:t>至少包括以下内容：</w:t>
            </w:r>
          </w:p>
          <w:p>
            <w:pPr>
              <w:adjustRightInd w:val="0"/>
              <w:snapToGrid w:val="0"/>
              <w:rPr>
                <w:rFonts w:ascii="Calibri" w:hAnsi="Calibri" w:eastAsia="仿宋_GB2312"/>
                <w:color w:val="000000"/>
                <w:kern w:val="0"/>
                <w:szCs w:val="21"/>
              </w:rPr>
            </w:pPr>
            <w:r>
              <w:rPr>
                <w:rFonts w:ascii="Calibri" w:hAnsi="Calibri" w:eastAsia="仿宋_GB2312"/>
                <w:b/>
                <w:color w:val="000000"/>
                <w:kern w:val="0"/>
                <w:szCs w:val="21"/>
              </w:rPr>
              <w:t>1.设计和开发的各个阶段的划分；</w:t>
            </w:r>
            <w:r>
              <w:rPr>
                <w:rFonts w:ascii="Calibri" w:hAnsi="Calibri" w:eastAsia="仿宋_GB2312"/>
                <w:b/>
                <w:color w:val="000000"/>
                <w:kern w:val="0"/>
                <w:szCs w:val="21"/>
              </w:rPr>
              <w:br w:type="textWrapping"/>
            </w:r>
            <w:r>
              <w:rPr>
                <w:rFonts w:ascii="Calibri" w:hAnsi="Calibri" w:eastAsia="仿宋_GB2312"/>
                <w:b/>
                <w:color w:val="000000"/>
                <w:kern w:val="0"/>
                <w:szCs w:val="21"/>
              </w:rPr>
              <w:t>2.适合于每个设计和开发阶段的评审、验证、确认和设计转换活动;</w:t>
            </w:r>
            <w:r>
              <w:rPr>
                <w:rFonts w:ascii="Calibri" w:hAnsi="Calibri" w:eastAsia="仿宋_GB2312"/>
                <w:b/>
                <w:color w:val="000000"/>
                <w:kern w:val="0"/>
                <w:szCs w:val="21"/>
              </w:rPr>
              <w:br w:type="textWrapping"/>
            </w:r>
            <w:r>
              <w:rPr>
                <w:rFonts w:ascii="Calibri" w:hAnsi="Calibri" w:eastAsia="仿宋_GB2312"/>
                <w:b/>
                <w:color w:val="000000"/>
                <w:kern w:val="0"/>
                <w:szCs w:val="21"/>
              </w:rPr>
              <w:t>3.设计和开发各阶段人员和部门的职责、权限和沟通；</w:t>
            </w:r>
            <w:r>
              <w:rPr>
                <w:rFonts w:ascii="Calibri" w:hAnsi="Calibri" w:eastAsia="仿宋_GB2312"/>
                <w:b/>
                <w:color w:val="000000"/>
                <w:kern w:val="0"/>
                <w:szCs w:val="21"/>
              </w:rPr>
              <w:br w:type="textWrapping"/>
            </w:r>
            <w:r>
              <w:rPr>
                <w:rFonts w:ascii="Calibri" w:hAnsi="Calibri" w:eastAsia="仿宋_GB2312"/>
                <w:b/>
                <w:color w:val="000000"/>
                <w:kern w:val="0"/>
                <w:szCs w:val="21"/>
              </w:rPr>
              <w:t>4.风险管理要求。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38"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查看设计和开发策划资料，应当</w:t>
            </w:r>
            <w:r>
              <w:rPr>
                <w:rFonts w:ascii="Calibri" w:hAnsi="Calibri" w:eastAsia="仿宋_GB2312"/>
                <w:b/>
                <w:color w:val="000000"/>
                <w:kern w:val="0"/>
                <w:szCs w:val="21"/>
              </w:rPr>
              <w:t>根据产品的特点，对设计开发活动进行策划，并将策划结果形成文件。</w:t>
            </w:r>
            <w:r>
              <w:rPr>
                <w:rFonts w:hint="eastAsia" w:ascii="Calibri" w:hAnsi="Calibri" w:eastAsia="仿宋_GB2312"/>
                <w:b/>
                <w:color w:val="000000"/>
                <w:kern w:val="0"/>
                <w:szCs w:val="21"/>
              </w:rPr>
              <w:t>至少包括以下内容：</w:t>
            </w:r>
            <w:r>
              <w:rPr>
                <w:rFonts w:ascii="Calibri" w:hAnsi="Calibri" w:eastAsia="仿宋_GB2312"/>
                <w:b/>
                <w:color w:val="000000"/>
                <w:kern w:val="0"/>
                <w:szCs w:val="21"/>
              </w:rPr>
              <w:br w:type="textWrapping"/>
            </w:r>
            <w:r>
              <w:rPr>
                <w:rFonts w:ascii="Calibri" w:hAnsi="Calibri" w:eastAsia="仿宋_GB2312"/>
                <w:b/>
                <w:color w:val="000000"/>
                <w:kern w:val="0"/>
                <w:szCs w:val="21"/>
              </w:rPr>
              <w:t>1.设计和开发项目的目标和意义的描述</w:t>
            </w:r>
            <w:r>
              <w:rPr>
                <w:rFonts w:hint="eastAsia" w:ascii="Calibri" w:hAnsi="Calibri" w:eastAsia="仿宋_GB2312"/>
                <w:b/>
                <w:color w:val="000000"/>
                <w:kern w:val="0"/>
                <w:szCs w:val="21"/>
              </w:rPr>
              <w:t>，技术指标分析；</w:t>
            </w:r>
            <w:r>
              <w:rPr>
                <w:rFonts w:ascii="Calibri" w:hAnsi="Calibri" w:eastAsia="仿宋_GB2312"/>
                <w:b/>
                <w:color w:val="000000"/>
                <w:kern w:val="0"/>
                <w:szCs w:val="21"/>
              </w:rPr>
              <w:br w:type="textWrapping"/>
            </w:r>
            <w:r>
              <w:rPr>
                <w:rFonts w:ascii="Calibri" w:hAnsi="Calibri" w:eastAsia="仿宋_GB2312"/>
                <w:b/>
                <w:color w:val="000000"/>
                <w:kern w:val="0"/>
                <w:szCs w:val="21"/>
              </w:rPr>
              <w:t>2.确定了设计和开发各阶段，以及适合于每个设计和开发阶段的评审、验证、确认和设计转换活动</w:t>
            </w:r>
            <w:r>
              <w:rPr>
                <w:rFonts w:hint="eastAsia" w:ascii="Calibri" w:hAnsi="Calibri" w:eastAsia="仿宋_GB2312"/>
                <w:b/>
                <w:color w:val="000000"/>
                <w:kern w:val="0"/>
                <w:szCs w:val="21"/>
              </w:rPr>
              <w:t>；</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3．应</w:t>
            </w:r>
            <w:r>
              <w:rPr>
                <w:rFonts w:hint="eastAsia" w:ascii="Calibri" w:hAnsi="Calibri" w:eastAsia="仿宋_GB2312"/>
                <w:b/>
                <w:color w:val="000000"/>
                <w:kern w:val="0"/>
                <w:szCs w:val="21"/>
              </w:rPr>
              <w:t>当识别和确定各个部门设计和开发的活动和接口，明确各阶段的人员或组织的职责、评审人员的组成，以及各阶段预期的输出结果；</w:t>
            </w:r>
            <w:r>
              <w:rPr>
                <w:rFonts w:ascii="Calibri" w:hAnsi="Calibri" w:eastAsia="仿宋_GB2312"/>
                <w:b/>
                <w:color w:val="000000"/>
                <w:kern w:val="0"/>
                <w:szCs w:val="21"/>
              </w:rPr>
              <w:br w:type="textWrapping"/>
            </w:r>
            <w:r>
              <w:rPr>
                <w:rFonts w:ascii="Calibri" w:hAnsi="Calibri" w:eastAsia="仿宋_GB2312"/>
                <w:b/>
                <w:color w:val="000000"/>
                <w:kern w:val="0"/>
                <w:szCs w:val="21"/>
              </w:rPr>
              <w:t>4.主要任务和阶段性任务的策划安排与整个项目的一致；</w:t>
            </w:r>
            <w:r>
              <w:rPr>
                <w:rFonts w:ascii="Calibri" w:hAnsi="Calibri" w:eastAsia="仿宋_GB2312"/>
                <w:b/>
                <w:color w:val="000000"/>
                <w:kern w:val="0"/>
                <w:szCs w:val="21"/>
              </w:rPr>
              <w:br w:type="textWrapping"/>
            </w:r>
            <w:r>
              <w:rPr>
                <w:rFonts w:ascii="Calibri" w:hAnsi="Calibri" w:eastAsia="仿宋_GB2312"/>
                <w:b/>
                <w:color w:val="000000"/>
                <w:kern w:val="0"/>
                <w:szCs w:val="21"/>
              </w:rPr>
              <w:t>5.确定产品技术要求的制定、验证、确认和生产活动所需的测量装置；</w:t>
            </w:r>
            <w:r>
              <w:rPr>
                <w:rFonts w:ascii="Calibri" w:hAnsi="Calibri" w:eastAsia="仿宋_GB2312"/>
                <w:b/>
                <w:color w:val="000000"/>
                <w:kern w:val="0"/>
                <w:szCs w:val="21"/>
              </w:rPr>
              <w:br w:type="textWrapping"/>
            </w:r>
            <w:r>
              <w:rPr>
                <w:rFonts w:ascii="Calibri" w:hAnsi="Calibri" w:eastAsia="仿宋_GB2312"/>
                <w:b/>
                <w:color w:val="000000"/>
                <w:kern w:val="0"/>
                <w:szCs w:val="21"/>
              </w:rPr>
              <w:t>6.风险管理活动。</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应当</w:t>
            </w:r>
            <w:r>
              <w:rPr>
                <w:rFonts w:ascii="Calibri" w:hAnsi="Calibri" w:eastAsia="仿宋_GB2312"/>
                <w:b/>
                <w:color w:val="000000"/>
                <w:kern w:val="0"/>
                <w:szCs w:val="21"/>
              </w:rPr>
              <w:t>按照策划实施设计和开发</w:t>
            </w:r>
            <w:r>
              <w:rPr>
                <w:rFonts w:hint="eastAsia" w:ascii="Calibri" w:hAnsi="Calibri" w:eastAsia="仿宋_GB2312"/>
                <w:b/>
                <w:color w:val="000000"/>
                <w:kern w:val="0"/>
                <w:szCs w:val="21"/>
              </w:rPr>
              <w:t>。</w:t>
            </w:r>
            <w:r>
              <w:rPr>
                <w:rFonts w:ascii="Calibri" w:hAnsi="Calibri" w:eastAsia="仿宋_GB2312"/>
                <w:b/>
                <w:color w:val="000000"/>
                <w:kern w:val="0"/>
                <w:szCs w:val="21"/>
              </w:rPr>
              <w:t>当偏离计划而需要修改计划时，应</w:t>
            </w:r>
            <w:r>
              <w:rPr>
                <w:rFonts w:hint="eastAsia" w:ascii="Calibri" w:hAnsi="Calibri" w:eastAsia="仿宋_GB2312"/>
                <w:b/>
                <w:color w:val="000000"/>
                <w:kern w:val="0"/>
                <w:szCs w:val="21"/>
              </w:rPr>
              <w:t>当</w:t>
            </w:r>
            <w:r>
              <w:rPr>
                <w:rFonts w:ascii="Calibri" w:hAnsi="Calibri" w:eastAsia="仿宋_GB2312"/>
                <w:b/>
                <w:color w:val="000000"/>
                <w:kern w:val="0"/>
                <w:szCs w:val="21"/>
              </w:rPr>
              <w:t>对计划重新评审和批准。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5.3.1</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设计和开发输入应当包括预期用途规定的功能、性能和安全要求、法规要求、风险管理控制措施和其他要求。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5.3.2</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应当对设计和开发输入进行评审并得到批准，保持相关记录。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设计和开发输出应当满足输入要求，包括采购、生产和服务所需的相关信息、产品技术要求等。</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w:t>
            </w:r>
            <w:r>
              <w:rPr>
                <w:rFonts w:ascii="Calibri" w:hAnsi="Calibri" w:eastAsia="仿宋_GB2312"/>
                <w:b/>
                <w:color w:val="000000"/>
                <w:kern w:val="0"/>
                <w:szCs w:val="21"/>
              </w:rPr>
              <w:t>设计和开发输出</w:t>
            </w:r>
            <w:r>
              <w:rPr>
                <w:rFonts w:hint="eastAsia" w:ascii="Calibri" w:hAnsi="Calibri" w:eastAsia="仿宋_GB2312"/>
                <w:b/>
                <w:color w:val="000000"/>
                <w:kern w:val="0"/>
                <w:szCs w:val="21"/>
              </w:rPr>
              <w:t>资料，至少符合以下要求</w:t>
            </w:r>
            <w:r>
              <w:rPr>
                <w:rFonts w:ascii="Calibri" w:hAnsi="Calibri" w:eastAsia="仿宋_GB2312"/>
                <w:b/>
                <w:color w:val="000000"/>
                <w:kern w:val="0"/>
                <w:szCs w:val="21"/>
              </w:rPr>
              <w:t>：</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1.采购信息，如原材料、包装材料、组件和部件技术要求；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2.生产和服务所需的信息，如产品图纸（包括零部件图纸）、工艺配方、作业指导书、环境要求等；</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3.产品技术要求；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4.</w:t>
            </w:r>
            <w:r>
              <w:rPr>
                <w:rFonts w:hint="eastAsia" w:ascii="Calibri" w:hAnsi="Calibri" w:eastAsia="仿宋_GB2312"/>
                <w:b/>
                <w:color w:val="000000"/>
                <w:kern w:val="0"/>
                <w:szCs w:val="21"/>
              </w:rPr>
              <w:t>产品检验规程或指导书；</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5.规定产品的安全和正常使用所必须的产品特性，如产品使用说明书、包装和标签要求等。产品使用说明书是否与注册申报和批准的一致；</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6.标识和可追溯性要求；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7.提交给注册审批部门的文件，如研究资料、产品技术要求、注册检验报告、</w:t>
            </w:r>
            <w:r>
              <w:rPr>
                <w:rFonts w:hint="eastAsia" w:ascii="Calibri" w:hAnsi="Calibri" w:eastAsia="仿宋_GB2312"/>
                <w:b/>
                <w:color w:val="000000"/>
                <w:kern w:val="0"/>
                <w:szCs w:val="21"/>
              </w:rPr>
              <w:t>临床评价资料（如有）、医疗器械安全有效基本要求清单等；</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8.样机或样品；</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9.生物学评价结果和记录，包括材料的主要性能要求。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5.4.2</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设计和开发输出应当得到批准，保持相关记录。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5.5.1</w:t>
            </w:r>
          </w:p>
        </w:tc>
        <w:tc>
          <w:tcPr>
            <w:tcW w:w="7134" w:type="dxa"/>
            <w:tcMar>
              <w:left w:w="57" w:type="dxa"/>
              <w:right w:w="57" w:type="dxa"/>
            </w:tcMar>
            <w:vAlign w:val="top"/>
          </w:tcPr>
          <w:p>
            <w:pPr>
              <w:widowControl/>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应当在设计和开发过程中开展设计和开发到生产的转换活动，以使设计和开发的输出在成为最终产品规范前得以验证，确保设计和开发输出适用于生产。</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查看相关文件，至少符合以下要求：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1.应当在设计和开发过程中开展设计转换活动以解决可生产性、部件及材料的可获得性、所需的生产设备、操作人员的培训等；</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2.设计转换活动应当将产品的每一技术要求正确转化成与产品实现相关的具体过程或程序；</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3.设计转换活动的记录应当表明设计和开发输出在成为最终产品规范前得到验证，并保留验证记录，以确保设计和开发的输出适于生产；</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4. 应当对特殊过程的转换</w:t>
            </w:r>
            <w:r>
              <w:rPr>
                <w:rFonts w:hint="eastAsia" w:ascii="Calibri" w:hAnsi="Calibri" w:eastAsia="仿宋_GB2312"/>
                <w:b/>
                <w:color w:val="000000"/>
                <w:kern w:val="0"/>
                <w:szCs w:val="21"/>
              </w:rPr>
              <w:t>进行</w:t>
            </w:r>
            <w:r>
              <w:rPr>
                <w:rFonts w:ascii="Calibri" w:hAnsi="Calibri" w:eastAsia="仿宋_GB2312"/>
                <w:b/>
                <w:color w:val="000000"/>
                <w:kern w:val="0"/>
                <w:szCs w:val="21"/>
              </w:rPr>
              <w:t>确认，确保其结果适用于生产</w:t>
            </w:r>
            <w:r>
              <w:rPr>
                <w:rFonts w:hint="eastAsia" w:ascii="Calibri" w:hAnsi="Calibri" w:eastAsia="仿宋_GB2312"/>
                <w:b/>
                <w:color w:val="000000"/>
                <w:kern w:val="0"/>
                <w:szCs w:val="21"/>
              </w:rPr>
              <w:t>，并</w:t>
            </w:r>
            <w:r>
              <w:rPr>
                <w:rFonts w:ascii="Calibri" w:hAnsi="Calibri" w:eastAsia="仿宋_GB2312"/>
                <w:b/>
                <w:color w:val="000000"/>
                <w:kern w:val="0"/>
                <w:szCs w:val="21"/>
              </w:rPr>
              <w:t>保留确认记录。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9"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5.6.1</w:t>
            </w:r>
          </w:p>
        </w:tc>
        <w:tc>
          <w:tcPr>
            <w:tcW w:w="7134" w:type="dxa"/>
            <w:tcMar>
              <w:left w:w="57" w:type="dxa"/>
              <w:right w:w="57" w:type="dxa"/>
            </w:tcMar>
            <w:vAlign w:val="center"/>
          </w:tcPr>
          <w:p>
            <w:pPr>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应当在设计和开发的适宜阶段安排评审，保持评审结果及任何必要措施的记录。</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1.应当按设计开发策划的结果，在适宜的阶段进行设计和开发评审；</w:t>
            </w:r>
          </w:p>
          <w:p>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2.应当保持设计和开发评审记录，包括评审结果和评审所采取必要措施的记录。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92"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5.7.1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应当对设计和开发进行验证，以确保设计和开发输出满足输入的要求，并保持验证结果和任何必要措施的记录。</w:t>
            </w:r>
          </w:p>
          <w:p>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1.应当结合策划的结果，在适宜的阶段进行设计和开发验证，确保设计开发输出满足输入的要求；</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2.应当保持设计和开发验证记录、验证结果和任何必要措施的记录；</w:t>
            </w:r>
          </w:p>
          <w:p>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3.若设计和开发验证采用的是可供选择的计算方法或经证实的设计进行比较的方法，应当评审所用的方法的适宜性，确认方法是否科学和有效。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6"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5.8.1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应当对设计和开发进行确认，以确保产品满足规定的使用要求或者预期用途的要求，并保持确认结果和任何必要措施的记录。</w:t>
            </w:r>
          </w:p>
          <w:p>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1.应当在适宜阶段进行设计和开发确认，确保产品满足规定的使用要求或预期用途的要求；</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2.设计和开发确认活动应当在产品交付和实施之前进行；</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3.应当保持设计和开发确认记录，包括临床评价或临床试验的记录，保持确认结果和任何必要措施的记录。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1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5.9.1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确认可采用临床评价或者性能评价。进行临床试验时应当符合医疗器械临床试验法规的要求。</w:t>
            </w:r>
          </w:p>
          <w:p>
            <w:pPr>
              <w:adjustRightInd w:val="0"/>
              <w:snapToGrid w:val="0"/>
              <w:rPr>
                <w:rFonts w:ascii="Calibri" w:hAnsi="Calibri" w:eastAsia="仿宋_GB2312"/>
                <w:b/>
                <w:color w:val="000000"/>
                <w:kern w:val="0"/>
                <w:szCs w:val="21"/>
              </w:rPr>
            </w:pPr>
            <w:r>
              <w:rPr>
                <w:rFonts w:hint="eastAsia" w:ascii="Calibri" w:eastAsia="仿宋_GB2312"/>
                <w:b/>
                <w:color w:val="000000"/>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5.10.1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应当对设计和开发的更改进行识别并保持记录。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w:t>
            </w:r>
            <w:r>
              <w:rPr>
                <w:rFonts w:ascii="Calibri" w:hAnsi="Calibri" w:eastAsia="仿宋_GB2312"/>
                <w:color w:val="000000"/>
                <w:szCs w:val="21"/>
              </w:rPr>
              <w:t>10.2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必要时，应当对设计和开发更改进行评审、验证和确认，并在实施前得到批准。</w:t>
            </w:r>
          </w:p>
          <w:p>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查看设计和开发更改的评审记录，至少符合以下要求：</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w:t>
            </w:r>
            <w:r>
              <w:rPr>
                <w:rFonts w:hint="eastAsia" w:ascii="Calibri" w:hAnsi="Calibri" w:eastAsia="仿宋_GB2312"/>
                <w:b/>
                <w:color w:val="000000"/>
                <w:kern w:val="0"/>
                <w:szCs w:val="21"/>
              </w:rPr>
              <w:t>应当包括更改对产品组成部分和已交付产品的影响；</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2.设计和开发更改的实施应符合医疗器械产品注册的有关规定；</w:t>
            </w:r>
          </w:p>
          <w:p>
            <w:pPr>
              <w:pStyle w:val="13"/>
              <w:widowControl/>
              <w:adjustRightInd w:val="0"/>
              <w:snapToGrid w:val="0"/>
              <w:ind w:firstLine="0" w:firstLineChars="0"/>
              <w:rPr>
                <w:rFonts w:ascii="Calibri" w:hAnsi="Calibri" w:eastAsia="仿宋_GB2312"/>
                <w:b/>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设计更改的内容和结果涉及到改变医疗器械产品注册证（备案凭证）所载明的内容时，企业应当进行风险分析，并按照相关法规的规定，申请变更注册（备案），以满足法规的要求。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*5.10.3</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rPr>
            </w:pPr>
            <w:r>
              <w:rPr>
                <w:rFonts w:hint="eastAsia" w:ascii="Calibri" w:hAnsi="Calibri" w:eastAsia="仿宋_GB2312" w:cs="Times New Roman"/>
                <w:color w:val="000000"/>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5.11.1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应当在包括设计和开发在内的产品实现全过程中，制定风险管理的要求并形成文件，保持相关记录。</w:t>
            </w:r>
          </w:p>
          <w:p>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查看风险管理文件和记录，至少符合以下要求：</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1.风险管理应当覆盖企业开发的产品实现的全过程；</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w:t>
            </w:r>
            <w:r>
              <w:rPr>
                <w:rFonts w:hint="eastAsia" w:ascii="Calibri" w:hAnsi="Calibri" w:eastAsia="仿宋_GB2312"/>
                <w:b/>
                <w:color w:val="000000"/>
                <w:kern w:val="0"/>
                <w:szCs w:val="21"/>
              </w:rPr>
              <w:t>应当建立对医疗器械进行风险管理的文件，保持相关记录，以确定实施的证据；</w:t>
            </w:r>
          </w:p>
          <w:p>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应当将医疗器械产品的风险控制在可接受水平。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采</w:t>
            </w: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ascii="Calibri" w:hAnsi="Calibri" w:eastAsia="仿宋_GB2312" w:cs="Times New Roman"/>
                <w:b/>
                <w:bCs/>
                <w:color w:val="000000"/>
                <w:kern w:val="0"/>
                <w:sz w:val="44"/>
                <w:szCs w:val="21"/>
              </w:rPr>
            </w:pPr>
            <w:r>
              <w:rPr>
                <w:rFonts w:hint="eastAsia" w:ascii="Calibri" w:hAnsi="Calibri" w:eastAsia="仿宋_GB2312" w:cs="Times New Roman"/>
                <w:b/>
                <w:color w:val="000000"/>
                <w:kern w:val="0"/>
                <w:sz w:val="28"/>
                <w:szCs w:val="28"/>
              </w:rPr>
              <w:t>购</w:t>
            </w: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color w:val="000000"/>
                <w:kern w:val="0"/>
                <w:szCs w:val="21"/>
                <w:u w:val="none" w:color="auto"/>
              </w:rPr>
              <w:t>*</w:t>
            </w:r>
            <w:r>
              <w:rPr>
                <w:rFonts w:ascii="Calibri" w:hAnsi="Calibri" w:eastAsia="仿宋_GB2312" w:cs="Times New Roman"/>
                <w:color w:val="000000"/>
                <w:kern w:val="0"/>
                <w:szCs w:val="21"/>
              </w:rPr>
              <w:t>6.</w:t>
            </w:r>
            <w:r>
              <w:rPr>
                <w:rFonts w:ascii="Calibri" w:hAnsi="Calibri" w:eastAsia="仿宋_GB2312" w:cs="Times New Roman"/>
                <w:iCs/>
                <w:color w:val="000000"/>
                <w:kern w:val="0"/>
                <w:szCs w:val="21"/>
              </w:rPr>
              <w:t>1.1</w:t>
            </w:r>
          </w:p>
        </w:tc>
        <w:tc>
          <w:tcPr>
            <w:tcW w:w="7134" w:type="dxa"/>
            <w:tcMar>
              <w:left w:w="57" w:type="dxa"/>
              <w:right w:w="57" w:type="dxa"/>
            </w:tcMar>
            <w:vAlign w:val="center"/>
          </w:tcPr>
          <w:p>
            <w:pPr>
              <w:widowControl/>
              <w:adjustRightInd w:val="0"/>
              <w:snapToGrid w:val="0"/>
              <w:rPr>
                <w:rStyle w:val="19"/>
                <w:b/>
                <w:i w:val="0"/>
                <w:color w:val="000000"/>
              </w:rPr>
            </w:pPr>
            <w:r>
              <w:rPr>
                <w:rFonts w:hint="eastAsia" w:ascii="Calibri" w:hAnsi="Calibri" w:eastAsia="仿宋_GB2312"/>
                <w:i w:val="0"/>
                <w:iCs w:val="0"/>
                <w:color w:val="000000"/>
                <w:kern w:val="0"/>
                <w:szCs w:val="21"/>
              </w:rPr>
              <w:t>应当建立采购控制程序。</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采购程序内容至少包括：采购流程、合格供应商的选择、评价和再评价规定、采购物品检验或验证的要求、采购记录的要求。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*6.1.2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应当确保采购物品符合规定的要求，且</w:t>
            </w:r>
            <w:r>
              <w:rPr>
                <w:rFonts w:hint="eastAsia" w:ascii="Calibri" w:hAnsi="Calibri" w:eastAsia="仿宋_GB2312"/>
                <w:color w:val="000000"/>
                <w:kern w:val="0"/>
                <w:szCs w:val="21"/>
              </w:rPr>
              <w:t>不低于法律法规的相关规定和国家强制性标准的相关要求。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应当根据采购物品对产品的影响，确定对采购物品实行控制的方式和程度。</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rPr>
              <w:t>查看对采购物品实施控制方式和程度的规定，核实控制方式和程度能够满足产品要求。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应当建立供应商审核制度，对供应商进行审核评价。必要时，应当进行现场审核。</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是否符合《</w:t>
            </w:r>
            <w:r>
              <w:rPr>
                <w:rFonts w:hint="eastAsia" w:ascii="Calibri" w:eastAsia="仿宋_GB2312"/>
                <w:b/>
                <w:iCs/>
                <w:color w:val="000000"/>
              </w:rPr>
              <w:t>医疗器械生产企业供应商审核指南</w:t>
            </w:r>
            <w:r>
              <w:rPr>
                <w:rStyle w:val="19"/>
                <w:rFonts w:hint="eastAsia" w:ascii="Calibri" w:eastAsia="仿宋_GB2312"/>
                <w:b/>
                <w:i w:val="0"/>
                <w:color w:val="000000"/>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6.3.2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应当保留供方评价的结果和评价过程的记录。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*6.4.1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应当与主要原材料供应商签订质量协议，明确双方所承担的质量责任。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6.5.1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采购时应当明确采购信息，清晰表述采购要求，包括采购物品类别、验收准则、规格型号、规程、图样等内容。</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从采购清单中抽查相关采购物品的采购要求，确认是否符合本条要求。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6.5.2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应当建立采购记录，包括采购合同、原材料清单、供应商资质证明文件、质量标准、检验报告及验收标准等。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*6.5.3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采购记录应当满足可追溯要求。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6.6.1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应当对采购物品进行检验或验证，确保满足生产要求。</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查看采购物品的检验或验证记录。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生</w:t>
            </w:r>
          </w:p>
          <w:p>
            <w:pPr>
              <w:widowControl/>
              <w:adjustRightInd w:val="0"/>
              <w:snapToGrid w:val="0"/>
              <w:spacing w:line="360" w:lineRule="exact"/>
              <w:jc w:val="center"/>
              <w:rPr>
                <w:rFonts w:eastAsia="仿宋_GB2312"/>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产</w:t>
            </w:r>
          </w:p>
          <w:p>
            <w:pPr>
              <w:widowControl/>
              <w:adjustRightInd w:val="0"/>
              <w:snapToGrid w:val="0"/>
              <w:spacing w:line="360" w:lineRule="exact"/>
              <w:jc w:val="center"/>
              <w:rPr>
                <w:rFonts w:ascii="Calibri" w:hAnsi="Calibri" w:eastAsia="仿宋_GB2312" w:cs="Times New Roman"/>
                <w:b/>
                <w:color w:val="000000"/>
                <w:kern w:val="0"/>
                <w:sz w:val="28"/>
                <w:szCs w:val="28"/>
              </w:rPr>
            </w:pPr>
          </w:p>
          <w:p>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cs="Times New Roman"/>
                <w:b/>
                <w:color w:val="000000"/>
                <w:kern w:val="0"/>
                <w:sz w:val="28"/>
                <w:szCs w:val="28"/>
              </w:rPr>
              <w:t>管</w:t>
            </w:r>
          </w:p>
          <w:p>
            <w:pPr>
              <w:widowControl/>
              <w:adjustRightInd w:val="0"/>
              <w:snapToGrid w:val="0"/>
              <w:spacing w:line="360" w:lineRule="exact"/>
              <w:jc w:val="center"/>
              <w:rPr>
                <w:rFonts w:ascii="Calibri" w:hAnsi="Calibri" w:eastAsia="仿宋_GB2312" w:cs="Times New Roman"/>
                <w:b/>
                <w:color w:val="000000"/>
                <w:kern w:val="0"/>
                <w:sz w:val="28"/>
                <w:szCs w:val="28"/>
              </w:rPr>
            </w:pPr>
          </w:p>
          <w:p>
            <w:pPr>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理</w:t>
            </w:r>
          </w:p>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应当按照建立的质量管理体系进行生产，以保证产品符合强制性标准和经注册或者备案的产品技术要求。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应当编制生产工艺规程、作业指导书等，明确关键工序和特殊过程。</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查看相关文件；是否明确关键工序和特殊过程，对关键工序和特殊过程的重要参数是否做验证或确认的规定。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在生产过程中需要对原材料、中间品等进行清洁处理的，应当明确清洁方法和要求，并对清洁效果进行验证。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应当根据生产工艺特点对环境进行监测，并保存记录。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9"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7.5.1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应当对生产的特殊过程进行确认，并保存记录，包括确认方案，确认方法、操作人员、结果评价、再确认等内容。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7.5.2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生产过程中采用的计算机软件对产品质量有影响的，应当进行验证或确认。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*7.6.1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每批（台）产品均应当有生产记录，并满足可追溯的要求。</w:t>
            </w:r>
            <w:r>
              <w:rPr>
                <w:rFonts w:ascii="Calibri" w:hAnsi="Calibri" w:eastAsia="仿宋_GB2312"/>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7.6.2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生产记录应当包括：产品名称、规格型号、原材料批号、生产批号或产品编号、生产日期、数量、主要设备、工艺参数、操作人员等内容。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7.7.1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应当建立产品标识控制程序，用适宜的方法对产品进行标识，以便识别，防止混用和错用。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*7.8.1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应当在生产过程中标识产品的检验状态，防止不合格中间产品流向下道工序。</w:t>
            </w:r>
          </w:p>
          <w:p>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查看是否对检验状态标识方法作出规定，现场查看生产过程中的检验状态标识，是否符合文件规定。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i w:val="0"/>
                <w:color w:val="000000"/>
                <w:u w:val="none"/>
              </w:rPr>
            </w:pPr>
            <w:r>
              <w:rPr>
                <w:rFonts w:ascii="Calibri" w:hAnsi="Calibri" w:eastAsia="仿宋_GB2312" w:cs="Times New Roman"/>
                <w:i w:val="0"/>
                <w:iCs/>
                <w:color w:val="000000"/>
                <w:kern w:val="0"/>
                <w:szCs w:val="21"/>
                <w:u w:val="none" w:color="auto"/>
              </w:rPr>
              <w:t>*</w:t>
            </w:r>
            <w:r>
              <w:rPr>
                <w:rFonts w:ascii="Calibri" w:hAnsi="Calibri" w:eastAsia="仿宋_GB2312" w:cs="Times New Roman"/>
                <w:color w:val="000000"/>
                <w:kern w:val="0"/>
                <w:szCs w:val="21"/>
              </w:rPr>
              <w:t>7.</w:t>
            </w:r>
            <w:r>
              <w:rPr>
                <w:rFonts w:ascii="Calibri" w:hAnsi="Calibri" w:eastAsia="仿宋_GB2312" w:cs="Times New Roman"/>
                <w:iCs/>
                <w:color w:val="000000"/>
                <w:kern w:val="0"/>
                <w:szCs w:val="21"/>
              </w:rPr>
              <w:t>9.1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应当建立产品的可追溯性程序，规定产品追溯范围、程度、标识和必要的记录。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iCs/>
                <w:color w:val="000000"/>
                <w:kern w:val="0"/>
                <w:szCs w:val="21"/>
              </w:rPr>
              <w:t>*</w:t>
            </w:r>
            <w:r>
              <w:rPr>
                <w:rFonts w:ascii="Calibri" w:hAnsi="Calibri" w:eastAsia="仿宋_GB2312" w:cs="Times New Roman"/>
                <w:color w:val="000000"/>
                <w:kern w:val="0"/>
                <w:szCs w:val="21"/>
              </w:rPr>
              <w:t>7.10.1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产品的说明书、标签应当符合相关法律法规及标准要求。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7.11.1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应当建立产品防护程序，规定产品及其组成部分的防护要求，包括污染防护、静电防护、粉尘防护、腐蚀防护、运输防护等要求。防护应当包括标识、搬运、包装、贮存和保护等。</w:t>
            </w:r>
          </w:p>
          <w:p>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现场查看产品防护程序是否符合规范要求；现场查看并抽查相关记录，确认产品防护符合要求。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hint="eastAsia" w:ascii="Calibri" w:hAnsi="Calibri" w:eastAsia="仿宋_GB2312" w:cs="Times New Roman"/>
                <w:b/>
                <w:color w:val="000000"/>
                <w:kern w:val="0"/>
                <w:sz w:val="28"/>
                <w:szCs w:val="28"/>
              </w:rPr>
              <w:t>质量控制</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8.1.1</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应当建立质量控制程序，规定产品检验部门、人员、操作等要求。</w:t>
            </w:r>
          </w:p>
          <w:p>
            <w:pPr>
              <w:widowControl/>
              <w:tabs>
                <w:tab w:val="left" w:pos="3285"/>
              </w:tabs>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查看质量控制程序，是否对产品的检验部门职责、人员资质、检验操作规程等作出规定。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8.1.2</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应当规定检验仪器和设备的使用、校准等要求，以及产品放行的程序。</w:t>
            </w:r>
          </w:p>
          <w:p>
            <w:pPr>
              <w:widowControl/>
              <w:tabs>
                <w:tab w:val="left" w:pos="3285"/>
              </w:tabs>
              <w:adjustRightInd w:val="0"/>
              <w:snapToGrid w:val="0"/>
              <w:rPr>
                <w:rStyle w:val="19"/>
                <w:rFonts w:ascii="Calibri" w:eastAsia="仿宋_GB2312"/>
                <w:b/>
                <w:i w:val="0"/>
                <w:color w:val="000000"/>
              </w:rPr>
            </w:pPr>
            <w:r>
              <w:rPr>
                <w:rStyle w:val="19"/>
                <w:rFonts w:hint="eastAsia" w:ascii="Calibri" w:eastAsia="仿宋_GB2312"/>
                <w:b/>
                <w:i w:val="0"/>
                <w:color w:val="000000"/>
              </w:rPr>
              <w:t>查看质量控制程序，是否对检验仪器、设备的使用和校准作出规定。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8.2.1</w:t>
            </w:r>
          </w:p>
        </w:tc>
        <w:tc>
          <w:tcPr>
            <w:tcW w:w="7134" w:type="dxa"/>
            <w:tcMar>
              <w:left w:w="57" w:type="dxa"/>
              <w:right w:w="57" w:type="dxa"/>
            </w:tcMar>
            <w:vAlign w:val="center"/>
          </w:tcPr>
          <w:p>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应当定期对检验仪器和设备进行校准或检定，并予以标识。</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查看检验仪器和设备是否按规定实施了校准或检定，是否进行了标识。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8.2.2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bCs/>
                <w:i w:val="0"/>
                <w:iCs w:val="0"/>
                <w:color w:val="000000"/>
                <w:szCs w:val="21"/>
              </w:rPr>
              <w:t>应当规定检验仪器和设备在搬运、维护、贮存期间的防护要求，防止检验结果失准。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8"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8.2.3</w:t>
            </w:r>
          </w:p>
        </w:tc>
        <w:tc>
          <w:tcPr>
            <w:tcW w:w="7134" w:type="dxa"/>
            <w:tcMar>
              <w:left w:w="57" w:type="dxa"/>
              <w:right w:w="57" w:type="dxa"/>
            </w:tcMar>
            <w:vAlign w:val="center"/>
          </w:tcPr>
          <w:p>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当发现检验仪器和设备不符合要求时，应当对以往检验结果进行评价，并保存验证记录。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查看设备使用、维护记录，当检验仪器设备不符合要求的情况，是否对以往检测的结果进行了评价，并保存相关记录。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8.2.4</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对用于检验的计算机软件，应当进行确认。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5"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*8.3.1</w:t>
            </w:r>
          </w:p>
        </w:tc>
        <w:tc>
          <w:tcPr>
            <w:tcW w:w="7134" w:type="dxa"/>
            <w:tcMar>
              <w:left w:w="57" w:type="dxa"/>
              <w:right w:w="57" w:type="dxa"/>
            </w:tcMar>
            <w:vAlign w:val="center"/>
          </w:tcPr>
          <w:p>
            <w:pPr>
              <w:widowControl/>
              <w:adjustRightInd w:val="0"/>
              <w:snapToGrid w:val="0"/>
              <w:rPr>
                <w:rStyle w:val="21"/>
                <w:rFonts w:ascii="Calibri" w:eastAsia="仿宋_GB2312"/>
                <w:i w:val="0"/>
                <w:color w:val="000000"/>
                <w:u w:val="none"/>
              </w:rPr>
            </w:pPr>
            <w:r>
              <w:rPr>
                <w:rStyle w:val="21"/>
                <w:rFonts w:hint="eastAsia" w:ascii="Calibri" w:eastAsia="仿宋_GB2312"/>
                <w:i w:val="0"/>
                <w:color w:val="000000"/>
                <w:u w:val="none"/>
              </w:rPr>
              <w:t>应当根据强制性标准以及经注册或者备案的产品技术要求制定产品的检验规程</w:t>
            </w:r>
            <w:r>
              <w:rPr>
                <w:rFonts w:hint="eastAsia" w:ascii="Calibri" w:hAnsi="Calibri" w:eastAsia="仿宋_GB2312"/>
                <w:color w:val="000000"/>
                <w:kern w:val="0"/>
                <w:szCs w:val="21"/>
              </w:rPr>
              <w:t>，并出具相应的检验报告或证书</w:t>
            </w:r>
            <w:r>
              <w:rPr>
                <w:rStyle w:val="21"/>
                <w:rFonts w:hint="eastAsia" w:ascii="Calibri" w:eastAsia="仿宋_GB2312"/>
                <w:i w:val="0"/>
                <w:color w:val="000000"/>
                <w:u w:val="none"/>
              </w:rPr>
              <w:t>。</w:t>
            </w:r>
          </w:p>
          <w:p>
            <w:pPr>
              <w:widowControl/>
              <w:adjustRightInd w:val="0"/>
              <w:snapToGrid w:val="0"/>
              <w:rPr>
                <w:rStyle w:val="18"/>
                <w:rFonts w:ascii="Calibri" w:eastAsia="仿宋_GB2312"/>
                <w:bCs w:val="0"/>
                <w:i w:val="0"/>
                <w:color w:val="000000"/>
                <w:szCs w:val="21"/>
              </w:rPr>
            </w:pPr>
            <w:r>
              <w:rPr>
                <w:rStyle w:val="19"/>
                <w:rFonts w:hint="eastAsia" w:ascii="Calibri" w:eastAsia="仿宋_GB2312"/>
                <w:b/>
                <w:i w:val="0"/>
                <w:color w:val="000000"/>
              </w:rPr>
              <w:t>查看产品检验规程是否涵盖强制性标准以及经注册或者备案的产品技术要求</w:t>
            </w:r>
            <w:r>
              <w:rPr>
                <w:rFonts w:hint="eastAsia" w:ascii="Calibri" w:eastAsia="仿宋_GB2312"/>
                <w:b/>
                <w:iCs/>
                <w:color w:val="000000"/>
              </w:rPr>
              <w:t>的性能指标</w:t>
            </w:r>
            <w:r>
              <w:rPr>
                <w:rStyle w:val="19"/>
                <w:rFonts w:hint="eastAsia" w:ascii="Calibri" w:eastAsia="仿宋_GB2312"/>
                <w:b/>
                <w:i w:val="0"/>
                <w:color w:val="000000"/>
              </w:rPr>
              <w:t>；确认检验记录是否能够证实产品符合要求；查看是否根据检验规程及检验结果出具相应的检验报告或证书。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8.3.2</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*8.4.1</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s="Times New Roman"/>
                <w:color w:val="000000"/>
                <w:kern w:val="0"/>
                <w:szCs w:val="21"/>
              </w:rPr>
            </w:pPr>
            <w:r>
              <w:rPr>
                <w:rFonts w:hint="eastAsia" w:ascii="Calibri" w:hAnsi="Calibri" w:eastAsia="仿宋_GB2312"/>
                <w:color w:val="000000"/>
                <w:kern w:val="0"/>
                <w:szCs w:val="21"/>
              </w:rPr>
              <w:t>每批（台）产品均应当有批检验记录，并满足可追溯要求。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8.4.2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检验记录应当包括进货检验、过程检验和成品检验的检验记录、检验报告或证书等。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highlight w:val="yellow"/>
              </w:rPr>
            </w:pPr>
            <w:r>
              <w:rPr>
                <w:rFonts w:ascii="Calibri" w:hAnsi="Calibri" w:eastAsia="仿宋_GB2312" w:cs="Times New Roman"/>
                <w:color w:val="000000"/>
                <w:kern w:val="0"/>
                <w:szCs w:val="21"/>
              </w:rPr>
              <w:t>*8.5.1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应当规定产品放行程序、条件和放行批准要求。</w:t>
            </w:r>
          </w:p>
          <w:p>
            <w:pPr>
              <w:widowControl/>
              <w:adjustRightInd w:val="0"/>
              <w:snapToGrid w:val="0"/>
              <w:rPr>
                <w:rFonts w:ascii="Calibri" w:hAnsi="Calibri" w:eastAsia="仿宋_GB2312" w:cs="Times New Roman"/>
                <w:b/>
                <w:color w:val="000000"/>
                <w:kern w:val="0"/>
                <w:szCs w:val="21"/>
                <w:highlight w:val="yellow"/>
              </w:rPr>
            </w:pPr>
            <w:r>
              <w:rPr>
                <w:rStyle w:val="19"/>
                <w:rFonts w:hint="eastAsia" w:ascii="Calibri" w:eastAsia="仿宋_GB2312"/>
                <w:b/>
                <w:i w:val="0"/>
                <w:color w:val="000000"/>
              </w:rPr>
              <w:t>查看产品放行程序，是否明确了放行的条件和放行批准的要求。应当规定有权放行产品人员及其职责权限，并应当保持批准的记录。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8.5.2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放行的产品应当附有合格证明。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8.6.1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应当根据产品和工艺特点制定留样管理规定，按规定进行留样，并保持留样观察记录。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销</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售</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和售后</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服</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cs="Times New Roman"/>
                <w:b/>
                <w:color w:val="000000"/>
                <w:kern w:val="0"/>
                <w:sz w:val="28"/>
                <w:szCs w:val="28"/>
              </w:rPr>
              <w:t>务</w:t>
            </w:r>
          </w:p>
          <w:p>
            <w:pPr>
              <w:adjustRightInd w:val="0"/>
              <w:snapToGrid w:val="0"/>
              <w:spacing w:line="360" w:lineRule="exact"/>
              <w:jc w:val="center"/>
              <w:rPr>
                <w:rFonts w:ascii="Calibri" w:hAnsi="Calibri" w:eastAsia="仿宋_GB2312" w:cs="Times New Roman"/>
                <w:b/>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应当建立产品销售记录，并满足可追溯要求。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9.1.2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销售记录至少应当包括：医疗器械名称、规格、型号、数量、生产批号、有效期、销售日期、购货单位名称、地址、联系方式等内容。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9.2.1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直接销售自产产品或者选择医疗器械经营企业，应当符合医疗器械相关法规和规范要求。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9.2.2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发现医疗器械经营企业存在违法违规经营行为时，应当及时向当地食品药品监督管理部门报告。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9.3.1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应当具备与所生产产品相适应的售后服务能力，建立健全售后服务制度。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应当规定售后服务要求并建立售后服务记录，并满足可追溯的要求。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9.4.1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需要由企业安装的医疗器械，应当确定安装要求和安装验证的接收标准，建立安装和验收记录。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9.4.2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由使用单位或其他企业进行安装、维修的，应当提供安装要求、标准和维修零部件、资料、密码等，并进行指导。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9.5.1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应当建立顾客反馈处理程序，对顾客反馈信息进行跟踪分析。</w:t>
            </w:r>
          </w:p>
          <w:p>
            <w:pPr>
              <w:widowControl/>
              <w:adjustRightInd w:val="0"/>
              <w:snapToGrid w:val="0"/>
              <w:rPr>
                <w:rFonts w:ascii="Calibri" w:hAnsi="Calibri" w:eastAsia="仿宋_GB2312" w:cs="Times New Roman"/>
                <w:b/>
                <w:color w:val="000000"/>
                <w:kern w:val="0"/>
                <w:szCs w:val="21"/>
              </w:rPr>
            </w:pPr>
            <w:r>
              <w:rPr>
                <w:rStyle w:val="19"/>
                <w:rFonts w:hint="eastAsia" w:ascii="Calibri" w:eastAsia="仿宋_GB2312"/>
                <w:b/>
                <w:i w:val="0"/>
                <w:color w:val="000000"/>
              </w:rPr>
              <w:t>查看程序文件是否对上述活动的实施作出了规定，并对顾客反馈信息进行了跟踪和分析。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合</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格</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品</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控</w:t>
            </w:r>
          </w:p>
          <w:p>
            <w:pPr>
              <w:widowControl/>
              <w:adjustRightInd w:val="0"/>
              <w:snapToGrid w:val="0"/>
              <w:spacing w:line="360" w:lineRule="exact"/>
              <w:jc w:val="center"/>
              <w:rPr>
                <w:rFonts w:ascii="Calibri" w:hAnsi="Calibri" w:eastAsia="仿宋_GB2312" w:cs="Times New Roman"/>
                <w:b/>
                <w:color w:val="000000"/>
                <w:kern w:val="0"/>
                <w:sz w:val="28"/>
                <w:szCs w:val="28"/>
              </w:rPr>
            </w:pPr>
            <w:r>
              <w:rPr>
                <w:rFonts w:hint="eastAsia" w:ascii="Calibri" w:hAnsi="Calibri" w:eastAsia="仿宋_GB2312"/>
                <w:b/>
                <w:color w:val="000000"/>
                <w:kern w:val="0"/>
                <w:sz w:val="28"/>
                <w:szCs w:val="28"/>
              </w:rPr>
              <w:t>制</w:t>
            </w:r>
          </w:p>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10.1.1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应当建立不合格品控制程序，规定不合格品控制的部门和人员的职责与权限。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*10.2.1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应当对不合格品进行标识、记录、隔离、评审，根据评审结果，应当对不合格品采取相应的处置措施。</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现场查看不合格品的标识、隔离是否符合程序文件的规定，抽查不合格品处理记录，是否按文件的规定进行评审。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10.3.1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在产品销售后发现产品不合格时，应及时采取相应措施，如召回、销毁等措施。现场查看在产品销售后发现不合格时的处置措施，是否召回和销毁等。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10.4.1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不合格品可以返工的，企业应当编制返工控制文件。返工控制文件应当包括作业指导书、重新检验和重新验证等内容。</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查看返工控制文件，是否对可以返工的不合格品作出规定；抽查返工活动记录，确认是否符合返工控制文件的要求。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不能返工的，应当建立相关处置制度。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b/>
                <w:color w:val="000000"/>
                <w:kern w:val="0"/>
                <w:sz w:val="28"/>
                <w:szCs w:val="28"/>
              </w:rPr>
            </w:pP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不良事件监测</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分</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析</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w:t>
            </w:r>
          </w:p>
          <w:p>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改</w:t>
            </w:r>
          </w:p>
          <w:p>
            <w:pPr>
              <w:widowControl/>
              <w:adjustRightInd w:val="0"/>
              <w:snapToGrid w:val="0"/>
              <w:spacing w:line="360" w:lineRule="exact"/>
              <w:jc w:val="center"/>
              <w:rPr>
                <w:rFonts w:ascii="Calibri" w:hAnsi="Calibri" w:eastAsia="仿宋_GB2312" w:cs="Times New Roman"/>
                <w:color w:val="000000"/>
                <w:kern w:val="0"/>
                <w:szCs w:val="21"/>
              </w:rPr>
            </w:pPr>
            <w:r>
              <w:rPr>
                <w:rFonts w:hint="eastAsia" w:ascii="Calibri" w:hAnsi="Calibri" w:eastAsia="仿宋_GB2312"/>
                <w:b/>
                <w:color w:val="000000"/>
                <w:kern w:val="0"/>
                <w:sz w:val="28"/>
                <w:szCs w:val="28"/>
              </w:rPr>
              <w:t>进</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应当指定相关部门负责接收、调查、评价和处理顾客投诉，并保持相关记录。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查看有关职责权限的文件，确定是否对上述活动作出规定。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应当按照有关法规要求建立医疗器械不良事件监测制度，开展不良事件监测和再评价工作，保持相关记录。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查看企业建立的不良事件的监测制度，是否</w:t>
            </w:r>
            <w:r>
              <w:rPr>
                <w:rFonts w:hint="eastAsia" w:ascii="Calibri" w:hAnsi="Calibri" w:eastAsia="仿宋_GB2312" w:cs="Times New Roman"/>
                <w:b/>
                <w:color w:val="000000"/>
                <w:kern w:val="0"/>
                <w:szCs w:val="21"/>
              </w:rPr>
              <w:t>规定了可疑不良事件管理人员的职责、报告原则、上报程序、上报时限，制定了启动实施医疗器械再评价的程序和文件等，并符合法规要求。</w:t>
            </w:r>
            <w:r>
              <w:rPr>
                <w:rStyle w:val="19"/>
                <w:rFonts w:hint="eastAsia" w:ascii="Calibri" w:eastAsia="仿宋_GB2312"/>
                <w:b/>
                <w:i w:val="0"/>
                <w:color w:val="000000"/>
              </w:rPr>
              <w:t>查看相关记录，确认是否存在不良事件，并按规定要求实施。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应当建立数据分析程序，收集分析与产品质量、不良事件、顾客反馈和质量管理体系运行有关的数据</w:t>
            </w:r>
            <w:r>
              <w:rPr>
                <w:rFonts w:hint="eastAsia" w:ascii="Calibri" w:hAnsi="Calibri" w:eastAsia="仿宋_GB2312" w:cs="Times New Roman"/>
                <w:color w:val="000000"/>
                <w:kern w:val="0"/>
                <w:szCs w:val="21"/>
              </w:rPr>
              <w:t>，</w:t>
            </w:r>
            <w:r>
              <w:rPr>
                <w:rFonts w:hint="eastAsia" w:ascii="Calibri" w:hAnsi="Calibri" w:eastAsia="仿宋_GB2312"/>
                <w:color w:val="000000"/>
                <w:kern w:val="0"/>
                <w:szCs w:val="21"/>
              </w:rPr>
              <w:t>验证产品安全性和有效性，</w:t>
            </w:r>
            <w:r>
              <w:rPr>
                <w:rFonts w:hint="eastAsia" w:ascii="Calibri" w:hAnsi="Calibri" w:eastAsia="仿宋_GB2312" w:cs="Times New Roman"/>
                <w:color w:val="000000"/>
                <w:kern w:val="0"/>
                <w:szCs w:val="21"/>
              </w:rPr>
              <w:t>并保持相关记录</w:t>
            </w:r>
            <w:r>
              <w:rPr>
                <w:rFonts w:hint="eastAsia" w:ascii="Calibri" w:hAnsi="Calibri" w:eastAsia="仿宋_GB2312"/>
                <w:color w:val="000000"/>
                <w:kern w:val="0"/>
                <w:szCs w:val="21"/>
              </w:rPr>
              <w:t>。</w:t>
            </w:r>
          </w:p>
          <w:p>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查看数据分析的实施记录，是否按程序规定进行，是否应用了统计技术并保留了数据分析结果的记录。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应当建立纠正措施程序，确定产生问题的原因，采取有效措施，防止相关问题再次发生。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应当建立预防措施程序，确定潜在问题的原因，采取有效措施，防止问题发生。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*11.5.1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对存在安全隐患的医疗器械，应当按照有关法规要求采取召回等措施，并按规定向有关部门报告。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11.6.1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rPr>
              <w:t>应当建立产品信息告知程序，及时将产品变动、使用等补充信息通知使用单位、相关企业或消费者。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11.7.1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应当建立质量管理体系内部审核程序，规定审核的准则、范围、频次、参加人员、方法、记录要求、纠正预防措施有效性的评定等内容，以确保质量管理体系符合本规范的要求。</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查看内部审核程序是否包括了上述内容。查看内审资料，实施内审的人员是否经过培训，内审的记录是否符合要求，针对内审发现的问题是否采取了纠正措施，是否有效。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*11.8.1</w:t>
            </w:r>
          </w:p>
        </w:tc>
        <w:tc>
          <w:tcPr>
            <w:tcW w:w="7134" w:type="dxa"/>
            <w:tcMar>
              <w:left w:w="57" w:type="dxa"/>
              <w:right w:w="57" w:type="dxa"/>
            </w:tcMar>
            <w:vAlign w:val="center"/>
          </w:tcPr>
          <w:p>
            <w:pPr>
              <w:widowControl/>
              <w:adjustRightInd w:val="0"/>
              <w:snapToGrid w:val="0"/>
              <w:rPr>
                <w:rFonts w:ascii="Calibri" w:hAnsi="Calibri" w:eastAsia="仿宋_GB2312"/>
                <w:iCs/>
                <w:color w:val="000000"/>
                <w:kern w:val="0"/>
                <w:szCs w:val="21"/>
              </w:rPr>
            </w:pPr>
            <w:r>
              <w:rPr>
                <w:rFonts w:hint="eastAsia" w:ascii="Calibri" w:hAnsi="Calibri" w:eastAsia="仿宋_GB2312"/>
                <w:color w:val="000000"/>
                <w:kern w:val="0"/>
                <w:szCs w:val="21"/>
              </w:rPr>
              <w:t>应当定期开展管理评审，对质量管理体系进行评价和审核，以确保其</w:t>
            </w:r>
            <w:r>
              <w:rPr>
                <w:rFonts w:hint="eastAsia" w:ascii="Calibri" w:hAnsi="Calibri" w:eastAsia="仿宋_GB2312"/>
                <w:iCs/>
                <w:color w:val="000000"/>
                <w:kern w:val="0"/>
                <w:szCs w:val="21"/>
              </w:rPr>
              <w:t>持续的适宜性、充分性和有效性。</w:t>
            </w:r>
          </w:p>
          <w:p>
            <w:pPr>
              <w:widowControl/>
              <w:adjustRightInd w:val="0"/>
              <w:snapToGrid w:val="0"/>
              <w:rPr>
                <w:rFonts w:ascii="Calibri" w:eastAsia="仿宋_GB2312"/>
                <w:b/>
                <w:color w:val="000000"/>
                <w:sz w:val="30"/>
                <w:szCs w:val="30"/>
              </w:rPr>
            </w:pPr>
            <w:r>
              <w:rPr>
                <w:rStyle w:val="19"/>
                <w:rFonts w:hint="eastAsia" w:ascii="Calibri" w:eastAsia="仿宋_GB2312"/>
                <w:b/>
                <w:i w:val="0"/>
                <w:color w:val="000000"/>
              </w:rPr>
              <w:t>查看</w:t>
            </w:r>
            <w:r>
              <w:rPr>
                <w:rFonts w:hint="eastAsia" w:ascii="Calibri" w:hAnsi="Calibri" w:eastAsia="仿宋_GB2312"/>
                <w:b/>
                <w:color w:val="000000"/>
                <w:kern w:val="0"/>
                <w:szCs w:val="21"/>
              </w:rPr>
              <w:t>管理评审文件和记录，应包括管理评审计划、管理评审报告以及相关改进措施，管理评审报告中是否包括了对法规符合性的评价。</w:t>
            </w:r>
            <w:r>
              <w:rPr>
                <w:rStyle w:val="19"/>
                <w:rFonts w:hint="eastAsia" w:ascii="Calibri" w:eastAsia="仿宋_GB2312"/>
                <w:b/>
                <w:i w:val="0"/>
                <w:color w:val="000000"/>
              </w:rPr>
              <w:t>是否在规定时间内进行了管理评审，是否提出了改进措施并落实具体职责和要求，是否按计划实施。</w:t>
            </w:r>
          </w:p>
        </w:tc>
      </w:tr>
    </w:tbl>
    <w:p>
      <w:pPr>
        <w:spacing w:line="360" w:lineRule="auto"/>
        <w:jc w:val="left"/>
        <w:rPr>
          <w:rFonts w:ascii="仿宋_GB2312" w:eastAsia="仿宋_GB2312"/>
          <w:color w:val="000000"/>
          <w:sz w:val="28"/>
          <w:szCs w:val="28"/>
        </w:rPr>
      </w:pPr>
    </w:p>
    <w:p>
      <w:pPr>
        <w:spacing w:line="360" w:lineRule="auto"/>
        <w:ind w:firstLine="560" w:firstLineChars="200"/>
        <w:jc w:val="both"/>
        <w:rPr>
          <w:rFonts w:ascii="黑体" w:hAnsi="黑体" w:eastAsia="黑体"/>
          <w:color w:val="000000"/>
          <w:sz w:val="28"/>
          <w:szCs w:val="28"/>
        </w:rPr>
      </w:pPr>
      <w:r>
        <w:rPr>
          <w:rFonts w:hint="eastAsia" w:ascii="黑体" w:hAnsi="黑体" w:eastAsia="黑体"/>
          <w:color w:val="000000"/>
          <w:sz w:val="28"/>
          <w:szCs w:val="28"/>
        </w:rPr>
        <w:t>注解：</w:t>
      </w:r>
    </w:p>
    <w:p>
      <w:pPr>
        <w:spacing w:line="360" w:lineRule="auto"/>
        <w:ind w:firstLine="560" w:firstLineChars="200"/>
        <w:jc w:val="both"/>
        <w:rPr>
          <w:rFonts w:ascii="Calibri" w:eastAsia="仿宋_GB2312"/>
          <w:color w:val="000000"/>
          <w:sz w:val="28"/>
          <w:szCs w:val="28"/>
        </w:rPr>
      </w:pPr>
      <w:r>
        <w:rPr>
          <w:rFonts w:hint="eastAsia" w:ascii="Calibri" w:eastAsia="仿宋_GB2312"/>
          <w:color w:val="000000"/>
          <w:sz w:val="28"/>
          <w:szCs w:val="28"/>
        </w:rPr>
        <w:t>本指导原则条款编号的编排方式为：</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，其中</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为章节的顺序号，如</w:t>
      </w:r>
      <w:r>
        <w:rPr>
          <w:rFonts w:ascii="Calibri" w:eastAsia="仿宋_GB2312"/>
          <w:color w:val="000000"/>
          <w:sz w:val="28"/>
          <w:szCs w:val="28"/>
        </w:rPr>
        <w:t>1.1.1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表示“机构与人员”章节，</w:t>
      </w:r>
      <w:r>
        <w:rPr>
          <w:rFonts w:ascii="Calibri" w:eastAsia="仿宋_GB2312"/>
          <w:color w:val="000000"/>
          <w:sz w:val="28"/>
          <w:szCs w:val="28"/>
        </w:rPr>
        <w:t>2.1.1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表示“厂房与设施”章节；</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为同一章节内条款的顺序号，如</w:t>
      </w:r>
      <w:r>
        <w:rPr>
          <w:rFonts w:ascii="Calibri" w:eastAsia="仿宋_GB2312"/>
          <w:color w:val="000000"/>
          <w:sz w:val="28"/>
          <w:szCs w:val="28"/>
        </w:rPr>
        <w:t>1.1.1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表示“机构与人员”章节第一条要求，</w:t>
      </w:r>
      <w:r>
        <w:rPr>
          <w:rFonts w:ascii="Calibri" w:eastAsia="仿宋_GB2312"/>
          <w:color w:val="000000"/>
          <w:sz w:val="28"/>
          <w:szCs w:val="28"/>
        </w:rPr>
        <w:t>1.2.1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表示“机构与人员”章节第二条要求；</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为同一条款内细化的检查指导的顺序号，如</w:t>
      </w:r>
      <w:r>
        <w:rPr>
          <w:rFonts w:ascii="Calibri" w:eastAsia="仿宋_GB2312"/>
          <w:color w:val="000000"/>
          <w:sz w:val="28"/>
          <w:szCs w:val="28"/>
        </w:rPr>
        <w:t>1.1.1</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表示“机构与人员”章节对第一条要求细化的第一个检查要点，</w:t>
      </w:r>
      <w:r>
        <w:rPr>
          <w:rFonts w:ascii="Calibri" w:eastAsia="仿宋_GB2312"/>
          <w:color w:val="000000"/>
          <w:sz w:val="28"/>
          <w:szCs w:val="28"/>
        </w:rPr>
        <w:t>1.1.2</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表示“机构与人员”章节对第一条要求细化的第二个检查要点。</w:t>
      </w:r>
    </w:p>
    <w:p>
      <w:pPr>
        <w:spacing w:line="360" w:lineRule="auto"/>
        <w:ind w:firstLine="560" w:firstLineChars="200"/>
        <w:jc w:val="both"/>
        <w:rPr>
          <w:rFonts w:ascii="Calibri" w:eastAsia="黑体"/>
          <w:color w:val="000000"/>
          <w:sz w:val="30"/>
          <w:szCs w:val="30"/>
        </w:rPr>
      </w:pPr>
      <w:r>
        <w:rPr>
          <w:rFonts w:hint="eastAsia" w:ascii="Calibri" w:eastAsia="仿宋_GB2312"/>
          <w:color w:val="000000"/>
          <w:sz w:val="28"/>
          <w:szCs w:val="28"/>
        </w:rPr>
        <w:t>其他章节编号规则相同。</w:t>
      </w:r>
    </w:p>
    <w:p>
      <w:pPr>
        <w:spacing w:line="360" w:lineRule="auto"/>
        <w:ind w:firstLine="720"/>
        <w:jc w:val="left"/>
        <w:rPr>
          <w:rFonts w:ascii="Calibri" w:eastAsia="黑体"/>
          <w:color w:val="000000"/>
          <w:sz w:val="30"/>
          <w:szCs w:val="30"/>
        </w:rPr>
      </w:pPr>
    </w:p>
    <w:sectPr>
      <w:footerReference r:id="rId3" w:type="default"/>
      <w:footerReference r:id="rId4" w:type="even"/>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rFonts w:hint="eastAsia"/>
        <w:sz w:val="28"/>
        <w:szCs w:val="28"/>
      </w:rPr>
      <w:t>—</w:t>
    </w:r>
    <w:r>
      <w:rPr>
        <w:sz w:val="28"/>
        <w:szCs w:val="28"/>
      </w:rPr>
      <w:t xml:space="preserve"> </w:t>
    </w:r>
    <w:r>
      <w:rPr>
        <w:sz w:val="28"/>
        <w:szCs w:val="28"/>
        <w:lang w:val="en-US"/>
      </w:rPr>
      <w:fldChar w:fldCharType="begin"/>
    </w:r>
    <w:r>
      <w:rPr>
        <w:sz w:val="28"/>
        <w:szCs w:val="28"/>
      </w:rPr>
      <w:instrText xml:space="preserve"> PAGE   \* MERGEFORMAT </w:instrText>
    </w:r>
    <w:r>
      <w:rPr>
        <w:sz w:val="28"/>
        <w:szCs w:val="28"/>
        <w:lang w:val="en-US"/>
      </w:rPr>
      <w:fldChar w:fldCharType="separate"/>
    </w:r>
    <w:r>
      <w:rPr>
        <w:sz w:val="28"/>
        <w:szCs w:val="28"/>
        <w:lang w:val="zh-CN"/>
      </w:rPr>
      <w:t>13</w:t>
    </w:r>
    <w:r>
      <w:rPr>
        <w:sz w:val="28"/>
        <w:szCs w:val="28"/>
        <w:lang w:val="zh-CN"/>
      </w:rPr>
      <w:fldChar w:fldCharType="end"/>
    </w:r>
    <w:r>
      <w:rPr>
        <w:sz w:val="28"/>
        <w:szCs w:val="28"/>
        <w:lang w:val="zh-CN"/>
      </w:rPr>
      <w:t xml:space="preserve"> </w:t>
    </w:r>
    <w:r>
      <w:rPr>
        <w:rFonts w:hint="eastAsia"/>
        <w:sz w:val="28"/>
        <w:szCs w:val="28"/>
        <w:lang w:val="zh-CN"/>
      </w:rPr>
      <w:t>—</w:t>
    </w:r>
    <w:r>
      <w:rPr>
        <w:rFonts w:hint="eastAsia"/>
        <w:color w:val="FFFFFF"/>
        <w:sz w:val="28"/>
        <w:szCs w:val="28"/>
        <w:lang w:val="zh-CN"/>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color w:val="FFFFFF"/>
        <w:sz w:val="28"/>
        <w:szCs w:val="28"/>
      </w:rPr>
      <w:t>—</w:t>
    </w:r>
    <w:r>
      <w:rPr>
        <w:rFonts w:hint="eastAsia"/>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r>
      <w:rPr>
        <w:rFonts w:hint="eastAsia"/>
        <w:sz w:val="28"/>
        <w:szCs w:val="28"/>
      </w:rPr>
      <w:t>—</w:t>
    </w:r>
  </w:p>
  <w:p>
    <w:pPr>
      <w:pStyle w:val="4"/>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E2DC9"/>
    <w:rsid w:val="000F424B"/>
    <w:rsid w:val="001038D9"/>
    <w:rsid w:val="00104C75"/>
    <w:rsid w:val="001054A5"/>
    <w:rsid w:val="0010732F"/>
    <w:rsid w:val="001117CB"/>
    <w:rsid w:val="001149AC"/>
    <w:rsid w:val="00115B8F"/>
    <w:rsid w:val="0011781F"/>
    <w:rsid w:val="0013580E"/>
    <w:rsid w:val="00137F18"/>
    <w:rsid w:val="00146E05"/>
    <w:rsid w:val="00155899"/>
    <w:rsid w:val="00155977"/>
    <w:rsid w:val="00162CAB"/>
    <w:rsid w:val="0016602B"/>
    <w:rsid w:val="00166336"/>
    <w:rsid w:val="00175C29"/>
    <w:rsid w:val="0017678A"/>
    <w:rsid w:val="0018280E"/>
    <w:rsid w:val="00184AA7"/>
    <w:rsid w:val="0018609E"/>
    <w:rsid w:val="0019044B"/>
    <w:rsid w:val="001920FF"/>
    <w:rsid w:val="001A0867"/>
    <w:rsid w:val="001A1054"/>
    <w:rsid w:val="001B022E"/>
    <w:rsid w:val="001B2082"/>
    <w:rsid w:val="001B6F9D"/>
    <w:rsid w:val="001C060C"/>
    <w:rsid w:val="001C1D02"/>
    <w:rsid w:val="001C48AE"/>
    <w:rsid w:val="001D346C"/>
    <w:rsid w:val="001F021A"/>
    <w:rsid w:val="00201761"/>
    <w:rsid w:val="002021EA"/>
    <w:rsid w:val="00212119"/>
    <w:rsid w:val="00216671"/>
    <w:rsid w:val="002173D0"/>
    <w:rsid w:val="00221CAA"/>
    <w:rsid w:val="00233490"/>
    <w:rsid w:val="002418ED"/>
    <w:rsid w:val="00245568"/>
    <w:rsid w:val="00247991"/>
    <w:rsid w:val="002558EA"/>
    <w:rsid w:val="0025764C"/>
    <w:rsid w:val="00263B3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73E0"/>
    <w:rsid w:val="002E155E"/>
    <w:rsid w:val="002E5240"/>
    <w:rsid w:val="002E765B"/>
    <w:rsid w:val="002F3CB9"/>
    <w:rsid w:val="002F45D0"/>
    <w:rsid w:val="002F5BB3"/>
    <w:rsid w:val="00306C35"/>
    <w:rsid w:val="0032104C"/>
    <w:rsid w:val="003231A4"/>
    <w:rsid w:val="003250CF"/>
    <w:rsid w:val="00326E52"/>
    <w:rsid w:val="0033205A"/>
    <w:rsid w:val="00336CCC"/>
    <w:rsid w:val="003409A7"/>
    <w:rsid w:val="00342A55"/>
    <w:rsid w:val="00345CEF"/>
    <w:rsid w:val="00351C9B"/>
    <w:rsid w:val="003549AC"/>
    <w:rsid w:val="00360674"/>
    <w:rsid w:val="00365F32"/>
    <w:rsid w:val="00367151"/>
    <w:rsid w:val="00367B41"/>
    <w:rsid w:val="00372B39"/>
    <w:rsid w:val="00382CEC"/>
    <w:rsid w:val="00383FD7"/>
    <w:rsid w:val="0039046C"/>
    <w:rsid w:val="00392AE1"/>
    <w:rsid w:val="00397B3F"/>
    <w:rsid w:val="003A0B9B"/>
    <w:rsid w:val="003B1302"/>
    <w:rsid w:val="003B39E5"/>
    <w:rsid w:val="003B4D03"/>
    <w:rsid w:val="003B5CE2"/>
    <w:rsid w:val="003C2D47"/>
    <w:rsid w:val="003C6F14"/>
    <w:rsid w:val="003D2A6D"/>
    <w:rsid w:val="003D42E4"/>
    <w:rsid w:val="003D5049"/>
    <w:rsid w:val="003F3127"/>
    <w:rsid w:val="003F4362"/>
    <w:rsid w:val="00402227"/>
    <w:rsid w:val="00405A21"/>
    <w:rsid w:val="00414853"/>
    <w:rsid w:val="00415FFC"/>
    <w:rsid w:val="00416863"/>
    <w:rsid w:val="00420105"/>
    <w:rsid w:val="00433EA1"/>
    <w:rsid w:val="00434643"/>
    <w:rsid w:val="00437341"/>
    <w:rsid w:val="00437644"/>
    <w:rsid w:val="004520FC"/>
    <w:rsid w:val="00456C46"/>
    <w:rsid w:val="004614D3"/>
    <w:rsid w:val="00463CE1"/>
    <w:rsid w:val="004750F0"/>
    <w:rsid w:val="00476BF5"/>
    <w:rsid w:val="004862C0"/>
    <w:rsid w:val="0049038D"/>
    <w:rsid w:val="00493E16"/>
    <w:rsid w:val="0049442B"/>
    <w:rsid w:val="0049533E"/>
    <w:rsid w:val="00495B42"/>
    <w:rsid w:val="004A4AAD"/>
    <w:rsid w:val="004A5157"/>
    <w:rsid w:val="004B0E6F"/>
    <w:rsid w:val="004B2E52"/>
    <w:rsid w:val="004D110A"/>
    <w:rsid w:val="004E5F5D"/>
    <w:rsid w:val="004F1873"/>
    <w:rsid w:val="004F4083"/>
    <w:rsid w:val="004F49C1"/>
    <w:rsid w:val="004F4C8B"/>
    <w:rsid w:val="004F6A65"/>
    <w:rsid w:val="00503E9C"/>
    <w:rsid w:val="00504C3A"/>
    <w:rsid w:val="00505129"/>
    <w:rsid w:val="005109A1"/>
    <w:rsid w:val="00515025"/>
    <w:rsid w:val="00515F47"/>
    <w:rsid w:val="00516DA9"/>
    <w:rsid w:val="00526411"/>
    <w:rsid w:val="0053020E"/>
    <w:rsid w:val="00532C56"/>
    <w:rsid w:val="00535B1C"/>
    <w:rsid w:val="005360FB"/>
    <w:rsid w:val="00540319"/>
    <w:rsid w:val="00544054"/>
    <w:rsid w:val="00545DC4"/>
    <w:rsid w:val="0056501F"/>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6705"/>
    <w:rsid w:val="00672543"/>
    <w:rsid w:val="00675B30"/>
    <w:rsid w:val="00676C14"/>
    <w:rsid w:val="00684C33"/>
    <w:rsid w:val="00692AF3"/>
    <w:rsid w:val="00695F57"/>
    <w:rsid w:val="006A1ADA"/>
    <w:rsid w:val="006A2FC3"/>
    <w:rsid w:val="006A4E52"/>
    <w:rsid w:val="006A7CC4"/>
    <w:rsid w:val="006B732D"/>
    <w:rsid w:val="006C3AD0"/>
    <w:rsid w:val="006C41CC"/>
    <w:rsid w:val="006D2866"/>
    <w:rsid w:val="006D30BC"/>
    <w:rsid w:val="006D382E"/>
    <w:rsid w:val="006E1491"/>
    <w:rsid w:val="006E1F79"/>
    <w:rsid w:val="006E2164"/>
    <w:rsid w:val="006E7197"/>
    <w:rsid w:val="006F23DB"/>
    <w:rsid w:val="006F23EE"/>
    <w:rsid w:val="007068C9"/>
    <w:rsid w:val="00711C1B"/>
    <w:rsid w:val="007150D1"/>
    <w:rsid w:val="0072427E"/>
    <w:rsid w:val="0073065D"/>
    <w:rsid w:val="0073085B"/>
    <w:rsid w:val="00734F89"/>
    <w:rsid w:val="0074180E"/>
    <w:rsid w:val="00741FA7"/>
    <w:rsid w:val="00753B87"/>
    <w:rsid w:val="00756D6D"/>
    <w:rsid w:val="0077240A"/>
    <w:rsid w:val="007842A0"/>
    <w:rsid w:val="00790223"/>
    <w:rsid w:val="00791D27"/>
    <w:rsid w:val="007A4EF2"/>
    <w:rsid w:val="007A6268"/>
    <w:rsid w:val="007B1046"/>
    <w:rsid w:val="007B2737"/>
    <w:rsid w:val="007B7F2C"/>
    <w:rsid w:val="007C5DA7"/>
    <w:rsid w:val="007C76DB"/>
    <w:rsid w:val="007D3729"/>
    <w:rsid w:val="007D62B0"/>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192D"/>
    <w:rsid w:val="00854007"/>
    <w:rsid w:val="008635A4"/>
    <w:rsid w:val="008637C7"/>
    <w:rsid w:val="0086519E"/>
    <w:rsid w:val="0086568C"/>
    <w:rsid w:val="00865887"/>
    <w:rsid w:val="00867341"/>
    <w:rsid w:val="00871B47"/>
    <w:rsid w:val="008731E0"/>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11746"/>
    <w:rsid w:val="00911966"/>
    <w:rsid w:val="00911B82"/>
    <w:rsid w:val="0092713C"/>
    <w:rsid w:val="009342B3"/>
    <w:rsid w:val="00940976"/>
    <w:rsid w:val="00941068"/>
    <w:rsid w:val="00943A58"/>
    <w:rsid w:val="009441FA"/>
    <w:rsid w:val="00944DDE"/>
    <w:rsid w:val="00951B82"/>
    <w:rsid w:val="009528A3"/>
    <w:rsid w:val="009530A1"/>
    <w:rsid w:val="009577BA"/>
    <w:rsid w:val="00963EE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E5F3F"/>
    <w:rsid w:val="009F127B"/>
    <w:rsid w:val="00A050ED"/>
    <w:rsid w:val="00A0735F"/>
    <w:rsid w:val="00A11008"/>
    <w:rsid w:val="00A11CD7"/>
    <w:rsid w:val="00A249B6"/>
    <w:rsid w:val="00A24FBF"/>
    <w:rsid w:val="00A25299"/>
    <w:rsid w:val="00A25AC2"/>
    <w:rsid w:val="00A3170A"/>
    <w:rsid w:val="00A343DD"/>
    <w:rsid w:val="00A41D5D"/>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F4A36"/>
    <w:rsid w:val="00B03A43"/>
    <w:rsid w:val="00B0411C"/>
    <w:rsid w:val="00B05831"/>
    <w:rsid w:val="00B0642E"/>
    <w:rsid w:val="00B07ACF"/>
    <w:rsid w:val="00B109AB"/>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6F55"/>
    <w:rsid w:val="00BE192E"/>
    <w:rsid w:val="00BE2E3B"/>
    <w:rsid w:val="00BE3F6C"/>
    <w:rsid w:val="00BE4AE1"/>
    <w:rsid w:val="00BE6F62"/>
    <w:rsid w:val="00BE7A1D"/>
    <w:rsid w:val="00BF4CD7"/>
    <w:rsid w:val="00C1422D"/>
    <w:rsid w:val="00C21C30"/>
    <w:rsid w:val="00C31E88"/>
    <w:rsid w:val="00C33412"/>
    <w:rsid w:val="00C34359"/>
    <w:rsid w:val="00C36A15"/>
    <w:rsid w:val="00C3715F"/>
    <w:rsid w:val="00C432F9"/>
    <w:rsid w:val="00C456C0"/>
    <w:rsid w:val="00C5111A"/>
    <w:rsid w:val="00C51D82"/>
    <w:rsid w:val="00C526BD"/>
    <w:rsid w:val="00C53902"/>
    <w:rsid w:val="00C55837"/>
    <w:rsid w:val="00C55BB0"/>
    <w:rsid w:val="00C64D08"/>
    <w:rsid w:val="00C66D87"/>
    <w:rsid w:val="00C6736D"/>
    <w:rsid w:val="00C6778B"/>
    <w:rsid w:val="00C706C7"/>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49DF"/>
    <w:rsid w:val="00DF1C80"/>
    <w:rsid w:val="00DF1E8B"/>
    <w:rsid w:val="00DF308D"/>
    <w:rsid w:val="00DF788C"/>
    <w:rsid w:val="00E02D53"/>
    <w:rsid w:val="00E07BF5"/>
    <w:rsid w:val="00E10807"/>
    <w:rsid w:val="00E16634"/>
    <w:rsid w:val="00E31EC0"/>
    <w:rsid w:val="00E378AE"/>
    <w:rsid w:val="00E531C3"/>
    <w:rsid w:val="00E63F44"/>
    <w:rsid w:val="00E6616B"/>
    <w:rsid w:val="00E70ADC"/>
    <w:rsid w:val="00E70D8C"/>
    <w:rsid w:val="00E7468B"/>
    <w:rsid w:val="00E832C3"/>
    <w:rsid w:val="00E92432"/>
    <w:rsid w:val="00E9282C"/>
    <w:rsid w:val="00E933C8"/>
    <w:rsid w:val="00E94293"/>
    <w:rsid w:val="00E9564B"/>
    <w:rsid w:val="00EA094A"/>
    <w:rsid w:val="00EA7F21"/>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6879"/>
    <w:rsid w:val="00F477AB"/>
    <w:rsid w:val="00F4785A"/>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D0821"/>
    <w:rsid w:val="00FD3782"/>
    <w:rsid w:val="00FD4AB3"/>
    <w:rsid w:val="00FD6219"/>
    <w:rsid w:val="00FE1CD2"/>
    <w:rsid w:val="00FE29D4"/>
    <w:rsid w:val="00FF4558"/>
    <w:rsid w:val="189B290C"/>
    <w:rsid w:val="DB6ED6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28"/>
    <w:qFormat/>
    <w:uiPriority w:val="0"/>
    <w:pPr>
      <w:spacing w:after="120"/>
    </w:p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paragraph" w:customStyle="1" w:styleId="10">
    <w:name w:val="删除修改"/>
    <w:basedOn w:val="1"/>
    <w:link w:val="20"/>
    <w:qFormat/>
    <w:uiPriority w:val="0"/>
    <w:pPr>
      <w:widowControl/>
      <w:adjustRightInd w:val="0"/>
      <w:snapToGrid w:val="0"/>
      <w:spacing w:line="360" w:lineRule="exact"/>
      <w:jc w:val="left"/>
    </w:pPr>
    <w:rPr>
      <w:i/>
      <w:dstrike/>
      <w:color w:val="FF0000"/>
    </w:rPr>
  </w:style>
  <w:style w:type="paragraph" w:customStyle="1" w:styleId="11">
    <w:name w:val="Quote"/>
    <w:basedOn w:val="1"/>
    <w:next w:val="1"/>
    <w:link w:val="22"/>
    <w:qFormat/>
    <w:uiPriority w:val="29"/>
    <w:rPr>
      <w:i/>
      <w:iCs/>
      <w:color w:val="000000"/>
    </w:rPr>
  </w:style>
  <w:style w:type="paragraph" w:customStyle="1" w:styleId="12">
    <w:name w:val="Intense Quote"/>
    <w:basedOn w:val="1"/>
    <w:next w:val="1"/>
    <w:link w:val="23"/>
    <w:qFormat/>
    <w:uiPriority w:val="30"/>
    <w:pPr>
      <w:pBdr>
        <w:bottom w:val="single" w:color="4F81BD" w:sz="4" w:space="4"/>
      </w:pBdr>
      <w:spacing w:before="200" w:after="280"/>
      <w:ind w:left="936" w:right="936"/>
    </w:pPr>
    <w:rPr>
      <w:b/>
      <w:bCs/>
      <w:i/>
      <w:iCs/>
      <w:color w:val="4F81BD"/>
    </w:rPr>
  </w:style>
  <w:style w:type="paragraph" w:customStyle="1" w:styleId="13">
    <w:name w:val="List Paragraph"/>
    <w:basedOn w:val="1"/>
    <w:qFormat/>
    <w:uiPriority w:val="34"/>
    <w:pPr>
      <w:ind w:firstLine="420" w:firstLineChars="200"/>
    </w:p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5">
    <w:name w:val="页眉 Char"/>
    <w:link w:val="5"/>
    <w:uiPriority w:val="99"/>
    <w:rPr>
      <w:rFonts w:ascii="Times New Roman" w:hAnsi="Times New Roman"/>
      <w:kern w:val="2"/>
      <w:sz w:val="18"/>
      <w:szCs w:val="18"/>
    </w:rPr>
  </w:style>
  <w:style w:type="character" w:customStyle="1" w:styleId="16">
    <w:name w:val="页脚 Char"/>
    <w:link w:val="4"/>
    <w:uiPriority w:val="99"/>
    <w:rPr>
      <w:rFonts w:ascii="Times New Roman" w:hAnsi="Times New Roman"/>
      <w:kern w:val="2"/>
      <w:sz w:val="18"/>
      <w:szCs w:val="18"/>
    </w:rPr>
  </w:style>
  <w:style w:type="character" w:customStyle="1" w:styleId="17">
    <w:name w:val="批注框文本 Char"/>
    <w:link w:val="3"/>
    <w:semiHidden/>
    <w:uiPriority w:val="99"/>
    <w:rPr>
      <w:rFonts w:ascii="Times New Roman" w:hAnsi="Times New Roman"/>
      <w:kern w:val="2"/>
      <w:sz w:val="18"/>
      <w:szCs w:val="18"/>
    </w:rPr>
  </w:style>
  <w:style w:type="character" w:customStyle="1" w:styleId="18">
    <w:name w:val="Intense Emphasis"/>
    <w:qFormat/>
    <w:uiPriority w:val="21"/>
    <w:rPr>
      <w:b/>
      <w:bCs/>
      <w:i/>
      <w:iCs/>
      <w:color w:val="4F81BD"/>
    </w:rPr>
  </w:style>
  <w:style w:type="character" w:customStyle="1" w:styleId="19">
    <w:name w:val="Subtle Emphasis"/>
    <w:qFormat/>
    <w:uiPriority w:val="19"/>
    <w:rPr>
      <w:i/>
      <w:iCs/>
      <w:color w:val="548DD4"/>
    </w:rPr>
  </w:style>
  <w:style w:type="character" w:customStyle="1" w:styleId="20">
    <w:name w:val="删除修改 Char"/>
    <w:link w:val="10"/>
    <w:qFormat/>
    <w:uiPriority w:val="0"/>
    <w:rPr>
      <w:rFonts w:ascii="Times New Roman" w:hAnsi="Times New Roman"/>
      <w:i/>
      <w:dstrike/>
      <w:color w:val="FF0000"/>
      <w:kern w:val="2"/>
      <w:sz w:val="21"/>
      <w:szCs w:val="24"/>
    </w:rPr>
  </w:style>
  <w:style w:type="character" w:customStyle="1" w:styleId="21">
    <w:name w:val="讨论疑问"/>
    <w:qFormat/>
    <w:uiPriority w:val="1"/>
    <w:rPr>
      <w:i/>
      <w:iCs/>
      <w:color w:val="1F497D"/>
      <w:u w:val="double" w:color="FF0000"/>
    </w:rPr>
  </w:style>
  <w:style w:type="character" w:customStyle="1" w:styleId="22">
    <w:name w:val="引用 Char"/>
    <w:link w:val="11"/>
    <w:qFormat/>
    <w:uiPriority w:val="29"/>
    <w:rPr>
      <w:rFonts w:ascii="Times New Roman" w:hAnsi="Times New Roman"/>
      <w:i/>
      <w:iCs/>
      <w:color w:val="000000"/>
      <w:kern w:val="2"/>
      <w:sz w:val="21"/>
      <w:szCs w:val="24"/>
    </w:rPr>
  </w:style>
  <w:style w:type="character" w:customStyle="1" w:styleId="23">
    <w:name w:val="明显引用 Char"/>
    <w:link w:val="12"/>
    <w:uiPriority w:val="30"/>
    <w:rPr>
      <w:rFonts w:ascii="Times New Roman" w:hAnsi="Times New Roman"/>
      <w:b/>
      <w:bCs/>
      <w:i/>
      <w:iCs/>
      <w:color w:val="4F81BD"/>
      <w:kern w:val="2"/>
      <w:sz w:val="21"/>
      <w:szCs w:val="24"/>
    </w:rPr>
  </w:style>
  <w:style w:type="character" w:customStyle="1" w:styleId="24">
    <w:name w:val="Subtle Reference"/>
    <w:qFormat/>
    <w:uiPriority w:val="31"/>
    <w:rPr>
      <w:smallCaps/>
      <w:color w:val="C0504D"/>
      <w:u w:val="single"/>
    </w:rPr>
  </w:style>
  <w:style w:type="character" w:customStyle="1" w:styleId="25">
    <w:name w:val="Intense Reference"/>
    <w:qFormat/>
    <w:uiPriority w:val="32"/>
    <w:rPr>
      <w:b/>
      <w:bCs/>
      <w:smallCaps/>
      <w:color w:val="C0504D"/>
      <w:spacing w:val="5"/>
      <w:u w:val="single"/>
    </w:rPr>
  </w:style>
  <w:style w:type="character" w:customStyle="1" w:styleId="26">
    <w:name w:val="Book Title"/>
    <w:qFormat/>
    <w:uiPriority w:val="33"/>
    <w:rPr>
      <w:b/>
      <w:bCs/>
      <w:smallCaps/>
      <w:spacing w:val="5"/>
    </w:rPr>
  </w:style>
  <w:style w:type="character" w:customStyle="1" w:styleId="27">
    <w:name w:val="修改标记"/>
    <w:qFormat/>
    <w:uiPriority w:val="1"/>
    <w:rPr>
      <w:rFonts w:ascii="宋体" w:hAnsi="宋体" w:cs="宋体"/>
      <w:i/>
      <w:color w:val="auto"/>
      <w:kern w:val="0"/>
      <w:szCs w:val="21"/>
      <w:u w:val="none" w:color="FF0000"/>
      <w:bdr w:val="single" w:color="FF0000" w:sz="4" w:space="0"/>
      <w:shd w:val="clear" w:color="auto" w:fill="92D050"/>
    </w:rPr>
  </w:style>
  <w:style w:type="character" w:customStyle="1" w:styleId="28">
    <w:name w:val="正文文本 Char"/>
    <w:basedOn w:val="7"/>
    <w:link w:val="2"/>
    <w:qFormat/>
    <w:uiPriority w:val="0"/>
    <w:rPr>
      <w:rFonts w:ascii="Times New Roman" w:hAnsi="Times New Roman"/>
      <w:kern w:val="2"/>
      <w:sz w:val="21"/>
      <w:szCs w:val="24"/>
    </w:rPr>
  </w:style>
  <w:style w:type="character" w:customStyle="1" w:styleId="29">
    <w:name w:val="不明显强调1"/>
    <w:uiPriority w:val="0"/>
    <w:rPr>
      <w:i/>
      <w:iCs/>
      <w:color w:val="548DD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1</Pages>
  <Words>1527</Words>
  <Characters>8704</Characters>
  <Lines>72</Lines>
  <Paragraphs>20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2015-09-01T17:35:00Z</dcterms:created>
  <dc:creator>LENOVO USER</dc:creator>
  <cp:lastModifiedBy>Ebbing</cp:lastModifiedBy>
  <cp:lastPrinted>2015-09-29T11:13:00Z</cp:lastPrinted>
  <dcterms:modified xsi:type="dcterms:W3CDTF">2024-01-12T10:10:23Z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26DF10B4068B686E8F9FA065D08621AF</vt:lpwstr>
  </property>
</Properties>
</file>